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line="276" w:lineRule="auto"/>
        <w:jc w:val="both"/>
        <w:rPr>
          <w:rFonts w:ascii="宋体" w:hAnsi="宋体" w:eastAsia="宋体" w:cs="仿宋"/>
          <w:b/>
          <w:kern w:val="2"/>
          <w:sz w:val="70"/>
          <w:szCs w:val="70"/>
        </w:rPr>
      </w:pPr>
    </w:p>
    <w:p>
      <w:pPr>
        <w:widowControl w:val="0"/>
        <w:adjustRightInd/>
        <w:snapToGrid/>
        <w:spacing w:after="0" w:line="276" w:lineRule="auto"/>
        <w:jc w:val="center"/>
        <w:rPr>
          <w:rFonts w:ascii="宋体" w:hAnsi="宋体" w:eastAsia="宋体" w:cs="仿宋"/>
          <w:b/>
          <w:kern w:val="2"/>
          <w:sz w:val="70"/>
          <w:szCs w:val="70"/>
        </w:rPr>
      </w:pPr>
    </w:p>
    <w:p>
      <w:pPr>
        <w:widowControl w:val="0"/>
        <w:adjustRightInd/>
        <w:snapToGrid/>
        <w:spacing w:after="0" w:line="276" w:lineRule="auto"/>
        <w:jc w:val="center"/>
        <w:rPr>
          <w:rFonts w:ascii="宋体" w:hAnsi="宋体" w:eastAsia="宋体" w:cs="仿宋"/>
          <w:b/>
          <w:kern w:val="2"/>
          <w:sz w:val="70"/>
          <w:szCs w:val="70"/>
        </w:rPr>
      </w:pPr>
      <w:r>
        <w:rPr>
          <w:rFonts w:hint="eastAsia" w:ascii="宋体" w:hAnsi="宋体" w:eastAsia="宋体" w:cs="仿宋"/>
          <w:b/>
          <w:kern w:val="2"/>
          <w:sz w:val="70"/>
          <w:szCs w:val="70"/>
        </w:rPr>
        <w:t>中等职业教育质量</w:t>
      </w:r>
    </w:p>
    <w:p>
      <w:pPr>
        <w:widowControl w:val="0"/>
        <w:adjustRightInd/>
        <w:snapToGrid/>
        <w:spacing w:after="0" w:line="276" w:lineRule="auto"/>
        <w:jc w:val="center"/>
        <w:rPr>
          <w:rFonts w:ascii="宋体" w:hAnsi="宋体" w:eastAsia="宋体" w:cs="仿宋"/>
          <w:b/>
          <w:kern w:val="2"/>
          <w:sz w:val="70"/>
          <w:szCs w:val="70"/>
        </w:rPr>
      </w:pPr>
      <w:r>
        <w:rPr>
          <w:rFonts w:hint="eastAsia" w:ascii="宋体" w:hAnsi="宋体" w:eastAsia="宋体" w:cs="仿宋"/>
          <w:b/>
          <w:kern w:val="2"/>
          <w:sz w:val="70"/>
          <w:szCs w:val="70"/>
        </w:rPr>
        <w:t>年度报告</w:t>
      </w:r>
    </w:p>
    <w:p>
      <w:pPr>
        <w:widowControl w:val="0"/>
        <w:adjustRightInd/>
        <w:snapToGrid/>
        <w:spacing w:after="0" w:line="276" w:lineRule="auto"/>
        <w:jc w:val="center"/>
        <w:rPr>
          <w:rFonts w:ascii="宋体" w:hAnsi="宋体" w:eastAsia="宋体" w:cs="仿宋"/>
          <w:b/>
          <w:kern w:val="2"/>
          <w:sz w:val="60"/>
          <w:szCs w:val="60"/>
        </w:rPr>
      </w:pPr>
      <w:r>
        <w:rPr>
          <w:rFonts w:hint="eastAsia" w:ascii="宋体" w:hAnsi="宋体" w:eastAsia="宋体" w:cs="仿宋"/>
          <w:b/>
          <w:kern w:val="2"/>
          <w:sz w:val="60"/>
          <w:szCs w:val="60"/>
        </w:rPr>
        <w:t>（2023）</w:t>
      </w:r>
    </w:p>
    <w:p>
      <w:pPr>
        <w:widowControl w:val="0"/>
        <w:adjustRightInd/>
        <w:snapToGrid/>
        <w:spacing w:after="0" w:line="276" w:lineRule="auto"/>
        <w:jc w:val="center"/>
        <w:rPr>
          <w:rFonts w:ascii="宋体" w:hAnsi="宋体" w:eastAsia="宋体" w:cs="仿宋"/>
          <w:kern w:val="2"/>
          <w:sz w:val="48"/>
          <w:szCs w:val="48"/>
        </w:rPr>
      </w:pPr>
    </w:p>
    <w:p>
      <w:pPr>
        <w:widowControl w:val="0"/>
        <w:adjustRightInd/>
        <w:snapToGrid/>
        <w:spacing w:after="0" w:line="276" w:lineRule="auto"/>
        <w:jc w:val="center"/>
        <w:rPr>
          <w:rFonts w:ascii="宋体" w:hAnsi="宋体" w:eastAsia="宋体" w:cs="仿宋"/>
          <w:kern w:val="2"/>
          <w:sz w:val="48"/>
          <w:szCs w:val="48"/>
        </w:rPr>
      </w:pPr>
      <w:r>
        <w:rPr>
          <w:rFonts w:hint="eastAsia" w:ascii="宋体" w:hAnsi="宋体" w:eastAsia="宋体" w:cs="仿宋"/>
          <w:kern w:val="2"/>
          <w:sz w:val="48"/>
          <w:szCs w:val="48"/>
        </w:rPr>
        <w:t xml:space="preserve">    </w:t>
      </w: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276" w:lineRule="auto"/>
        <w:jc w:val="both"/>
        <w:rPr>
          <w:rFonts w:ascii="宋体" w:hAnsi="宋体" w:eastAsia="宋体" w:cs="仿宋"/>
          <w:b/>
          <w:kern w:val="2"/>
          <w:sz w:val="48"/>
          <w:szCs w:val="48"/>
        </w:rPr>
      </w:pPr>
    </w:p>
    <w:p>
      <w:pPr>
        <w:widowControl w:val="0"/>
        <w:adjustRightInd/>
        <w:snapToGrid/>
        <w:spacing w:after="0" w:line="276" w:lineRule="auto"/>
        <w:ind w:firstLine="2891" w:firstLineChars="600"/>
        <w:jc w:val="both"/>
        <w:rPr>
          <w:rFonts w:ascii="宋体" w:hAnsi="宋体" w:eastAsia="宋体" w:cs="仿宋"/>
          <w:b/>
          <w:kern w:val="2"/>
          <w:sz w:val="48"/>
          <w:szCs w:val="48"/>
        </w:rPr>
      </w:pPr>
    </w:p>
    <w:p>
      <w:pPr>
        <w:widowControl w:val="0"/>
        <w:adjustRightInd/>
        <w:snapToGrid/>
        <w:spacing w:after="0" w:line="800" w:lineRule="exact"/>
        <w:jc w:val="center"/>
        <w:rPr>
          <w:rFonts w:ascii="宋体" w:hAnsi="宋体" w:eastAsia="宋体" w:cs="仿宋"/>
          <w:b/>
          <w:kern w:val="2"/>
          <w:sz w:val="44"/>
          <w:szCs w:val="44"/>
        </w:rPr>
      </w:pPr>
      <w:r>
        <w:rPr>
          <w:rFonts w:hint="eastAsia" w:ascii="宋体" w:hAnsi="宋体" w:eastAsia="宋体" w:cs="仿宋"/>
          <w:b/>
          <w:kern w:val="2"/>
          <w:sz w:val="44"/>
          <w:szCs w:val="44"/>
        </w:rPr>
        <w:t>苏州福纳影视艺术学校</w:t>
      </w:r>
    </w:p>
    <w:p>
      <w:pPr>
        <w:widowControl w:val="0"/>
        <w:adjustRightInd/>
        <w:snapToGrid/>
        <w:spacing w:after="0" w:line="800" w:lineRule="exact"/>
        <w:jc w:val="center"/>
        <w:rPr>
          <w:rFonts w:ascii="宋体" w:hAnsi="Times New Roman" w:eastAsia="宋体" w:cs="黑体"/>
          <w:b/>
          <w:kern w:val="2"/>
          <w:sz w:val="36"/>
          <w:szCs w:val="36"/>
        </w:rPr>
      </w:pPr>
      <w:r>
        <w:rPr>
          <w:rFonts w:hint="eastAsia" w:ascii="宋体" w:hAnsi="宋体" w:eastAsia="宋体" w:cs="仿宋"/>
          <w:b/>
          <w:kern w:val="2"/>
          <w:sz w:val="44"/>
          <w:szCs w:val="44"/>
        </w:rPr>
        <w:t>2022年11月</w:t>
      </w:r>
    </w:p>
    <w:p>
      <w:pPr>
        <w:widowControl w:val="0"/>
        <w:adjustRightInd/>
        <w:snapToGrid/>
        <w:spacing w:after="0" w:line="276" w:lineRule="auto"/>
        <w:jc w:val="both"/>
        <w:rPr>
          <w:rFonts w:ascii="宋体" w:hAnsi="Times New Roman" w:eastAsia="宋体" w:cs="黑体"/>
          <w:b/>
          <w:kern w:val="2"/>
          <w:sz w:val="44"/>
          <w:szCs w:val="44"/>
        </w:rPr>
      </w:pPr>
    </w:p>
    <w:p>
      <w:pPr>
        <w:widowControl w:val="0"/>
        <w:adjustRightInd/>
        <w:snapToGrid/>
        <w:spacing w:after="0" w:line="276" w:lineRule="auto"/>
        <w:jc w:val="center"/>
        <w:rPr>
          <w:rFonts w:ascii="宋体" w:hAnsi="Times New Roman" w:eastAsia="宋体" w:cs="黑体"/>
          <w:b/>
          <w:kern w:val="2"/>
          <w:sz w:val="44"/>
          <w:szCs w:val="44"/>
        </w:rPr>
        <w:sectPr>
          <w:footerReference r:id="rId4" w:type="default"/>
          <w:pgSz w:w="11907" w:h="16839"/>
          <w:pgMar w:top="1440" w:right="1800" w:bottom="1440" w:left="1800" w:header="851" w:footer="992" w:gutter="0"/>
          <w:pgNumType w:start="3" w:chapStyle="1"/>
          <w:cols w:space="720" w:num="1"/>
          <w:docGrid w:type="lines" w:linePitch="312" w:charSpace="0"/>
        </w:sectPr>
      </w:pPr>
    </w:p>
    <w:p>
      <w:pPr>
        <w:widowControl w:val="0"/>
        <w:adjustRightInd/>
        <w:snapToGrid/>
        <w:spacing w:after="0" w:line="276" w:lineRule="auto"/>
        <w:jc w:val="center"/>
        <w:rPr>
          <w:rFonts w:ascii="宋体" w:hAnsi="Times New Roman" w:eastAsia="宋体" w:cs="黑体"/>
          <w:b/>
          <w:kern w:val="2"/>
          <w:sz w:val="44"/>
          <w:szCs w:val="44"/>
        </w:rPr>
      </w:pPr>
      <w:r>
        <w:rPr>
          <w:rFonts w:hint="eastAsia" w:ascii="宋体" w:hAnsi="Times New Roman" w:eastAsia="宋体" w:cs="黑体"/>
          <w:b/>
          <w:kern w:val="2"/>
          <w:sz w:val="44"/>
          <w:szCs w:val="44"/>
        </w:rPr>
        <w:t>目      录</w:t>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Fonts w:ascii="宋体" w:hAnsi="Times New Roman" w:eastAsia="宋体" w:cs="Times New Roman"/>
          <w:kern w:val="2"/>
          <w:sz w:val="30"/>
          <w:szCs w:val="30"/>
        </w:rPr>
      </w:pPr>
      <w:r>
        <w:rPr>
          <w:rFonts w:hint="eastAsia" w:ascii="宋体" w:hAnsi="Times New Roman" w:eastAsia="宋体" w:cs="Times New Roman"/>
          <w:kern w:val="2"/>
          <w:sz w:val="24"/>
          <w:szCs w:val="24"/>
        </w:rPr>
        <w:fldChar w:fldCharType="begin"/>
      </w:r>
      <w:r>
        <w:rPr>
          <w:rFonts w:hint="eastAsia" w:ascii="宋体" w:hAnsi="Times New Roman" w:eastAsia="宋体" w:cs="Times New Roman"/>
          <w:kern w:val="2"/>
          <w:sz w:val="24"/>
          <w:szCs w:val="24"/>
        </w:rPr>
        <w:instrText xml:space="preserve"> TOC \o "1-3" \h \z \u </w:instrText>
      </w:r>
      <w:r>
        <w:rPr>
          <w:rFonts w:hint="eastAsia" w:ascii="宋体" w:hAnsi="Times New Roman" w:eastAsia="宋体" w:cs="Times New Roman"/>
          <w:kern w:val="2"/>
          <w:sz w:val="24"/>
          <w:szCs w:val="24"/>
        </w:rPr>
        <w:fldChar w:fldCharType="separate"/>
      </w:r>
      <w:r>
        <w:rPr>
          <w:sz w:val="30"/>
          <w:szCs w:val="30"/>
        </w:rPr>
        <w:fldChar w:fldCharType="begin"/>
      </w:r>
      <w:r>
        <w:rPr>
          <w:sz w:val="30"/>
          <w:szCs w:val="30"/>
        </w:rPr>
        <w:instrText xml:space="preserve"> HYPERLINK \l "_Toc437095173" </w:instrText>
      </w:r>
      <w:r>
        <w:rPr>
          <w:sz w:val="30"/>
          <w:szCs w:val="30"/>
        </w:rPr>
        <w:fldChar w:fldCharType="separate"/>
      </w:r>
      <w:r>
        <w:rPr>
          <w:rFonts w:hint="eastAsia" w:ascii="宋体" w:hAnsi="Times New Roman" w:eastAsia="宋体" w:cs="仿宋"/>
          <w:bCs/>
          <w:kern w:val="2"/>
          <w:sz w:val="30"/>
          <w:szCs w:val="30"/>
        </w:rPr>
        <w:t>1.基本情况</w:t>
      </w:r>
      <w:bookmarkStart w:id="0" w:name="_Hlt466964712"/>
      <w:bookmarkStart w:id="1" w:name="_Hlt466964711"/>
      <w:r>
        <w:rPr>
          <w:rFonts w:hint="eastAsia" w:ascii="宋体" w:hAnsi="Times New Roman" w:eastAsia="宋体" w:cs="Times New Roman"/>
          <w:kern w:val="2"/>
          <w:sz w:val="30"/>
          <w:szCs w:val="30"/>
        </w:rPr>
        <w:tab/>
      </w:r>
      <w:bookmarkEnd w:id="0"/>
      <w:bookmarkEnd w:id="1"/>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"_Toc437095174" </w:instrText>
      </w:r>
      <w:r>
        <w:rPr>
          <w:sz w:val="30"/>
          <w:szCs w:val="30"/>
        </w:rPr>
        <w:fldChar w:fldCharType="separate"/>
      </w:r>
      <w:r>
        <w:rPr>
          <w:rFonts w:hint="eastAsia" w:ascii="宋体" w:hAnsi="Times New Roman" w:eastAsia="宋体" w:cs="仿宋"/>
          <w:bCs/>
          <w:kern w:val="2"/>
          <w:sz w:val="30"/>
          <w:szCs w:val="30"/>
        </w:rPr>
        <w:t>1.1学校概况</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"_Toc437095175" </w:instrText>
      </w:r>
      <w:r>
        <w:rPr>
          <w:sz w:val="30"/>
          <w:szCs w:val="30"/>
        </w:rPr>
        <w:fldChar w:fldCharType="separate"/>
      </w:r>
      <w:r>
        <w:rPr>
          <w:rFonts w:hint="eastAsia" w:ascii="宋体" w:hAnsi="Times New Roman" w:eastAsia="宋体" w:cs="Times New Roman"/>
          <w:kern w:val="2"/>
          <w:sz w:val="30"/>
          <w:szCs w:val="30"/>
        </w:rPr>
        <w:t>1.2学生情况</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2</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"_Toc437095176" </w:instrText>
      </w:r>
      <w:r>
        <w:rPr>
          <w:sz w:val="30"/>
          <w:szCs w:val="30"/>
        </w:rPr>
        <w:fldChar w:fldCharType="separate"/>
      </w:r>
      <w:r>
        <w:rPr>
          <w:rFonts w:hint="eastAsia" w:ascii="宋体" w:hAnsi="Times New Roman" w:eastAsia="宋体" w:cs="Times New Roman"/>
          <w:kern w:val="2"/>
          <w:sz w:val="30"/>
          <w:szCs w:val="30"/>
        </w:rPr>
        <w:t>1.3教师队伍</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2</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"_Toc437095177" </w:instrText>
      </w:r>
      <w:r>
        <w:rPr>
          <w:sz w:val="30"/>
          <w:szCs w:val="30"/>
        </w:rPr>
        <w:fldChar w:fldCharType="separate"/>
      </w:r>
      <w:r>
        <w:rPr>
          <w:rFonts w:hint="eastAsia" w:ascii="宋体" w:hAnsi="Times New Roman" w:eastAsia="宋体" w:cs="Times New Roman"/>
          <w:kern w:val="2"/>
          <w:sz w:val="30"/>
          <w:szCs w:val="30"/>
        </w:rPr>
        <w:t>1.4设施</w:t>
      </w:r>
      <w:bookmarkStart w:id="2" w:name="_Hlt466964717"/>
      <w:r>
        <w:rPr>
          <w:rFonts w:hint="eastAsia" w:ascii="宋体" w:hAnsi="Times New Roman" w:eastAsia="宋体" w:cs="Times New Roman"/>
          <w:kern w:val="2"/>
          <w:sz w:val="30"/>
          <w:szCs w:val="30"/>
        </w:rPr>
        <w:t>设</w:t>
      </w:r>
      <w:bookmarkEnd w:id="2"/>
      <w:r>
        <w:rPr>
          <w:rFonts w:hint="eastAsia" w:ascii="宋体" w:hAnsi="Times New Roman" w:eastAsia="宋体" w:cs="Times New Roman"/>
          <w:kern w:val="2"/>
          <w:sz w:val="30"/>
          <w:szCs w:val="30"/>
        </w:rPr>
        <w:t>备</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lang w:val="en-US" w:eastAsia="zh-CN"/>
        </w:rPr>
        <w:t>2</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"_Toc437095180" </w:instrText>
      </w:r>
      <w:r>
        <w:rPr>
          <w:sz w:val="30"/>
          <w:szCs w:val="30"/>
        </w:rPr>
        <w:fldChar w:fldCharType="separate"/>
      </w:r>
      <w:r>
        <w:rPr>
          <w:rFonts w:hint="eastAsia" w:ascii="宋体" w:hAnsi="Times New Roman" w:eastAsia="宋体" w:cs="仿宋"/>
          <w:bCs/>
          <w:kern w:val="2"/>
          <w:sz w:val="30"/>
          <w:szCs w:val="30"/>
        </w:rPr>
        <w:t>2.学生发展质量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3</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"_Toc437095181" </w:instrText>
      </w:r>
      <w:r>
        <w:rPr>
          <w:sz w:val="30"/>
          <w:szCs w:val="30"/>
        </w:rPr>
        <w:fldChar w:fldCharType="separate"/>
      </w:r>
      <w:r>
        <w:rPr>
          <w:rFonts w:hint="eastAsia" w:ascii="宋体" w:hAnsi="Times New Roman" w:eastAsia="宋体" w:cs="仿宋"/>
          <w:bCs/>
          <w:kern w:val="2"/>
          <w:sz w:val="30"/>
          <w:szCs w:val="30"/>
        </w:rPr>
        <w:t>2.1党建引领</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3</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"_Toc437095183" </w:instrText>
      </w:r>
      <w:r>
        <w:rPr>
          <w:sz w:val="30"/>
          <w:szCs w:val="30"/>
        </w:rPr>
        <w:fldChar w:fldCharType="separate"/>
      </w:r>
      <w:r>
        <w:rPr>
          <w:rFonts w:hint="eastAsia" w:ascii="宋体" w:hAnsi="Times New Roman" w:eastAsia="宋体" w:cs="仿宋"/>
          <w:bCs/>
          <w:kern w:val="2"/>
          <w:sz w:val="30"/>
          <w:szCs w:val="30"/>
        </w:rPr>
        <w:t>2.2立德树人</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lang w:val="en-US" w:eastAsia="zh-CN"/>
        </w:rPr>
        <w:t>4</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"_Toc437095183" </w:instrText>
      </w:r>
      <w:r>
        <w:rPr>
          <w:sz w:val="30"/>
          <w:szCs w:val="30"/>
        </w:rPr>
        <w:fldChar w:fldCharType="separate"/>
      </w:r>
      <w:r>
        <w:rPr>
          <w:rFonts w:hint="eastAsia" w:ascii="宋体" w:hAnsi="Times New Roman" w:eastAsia="宋体" w:cs="仿宋"/>
          <w:bCs/>
          <w:kern w:val="2"/>
          <w:sz w:val="30"/>
          <w:szCs w:val="30"/>
        </w:rPr>
        <w:t>2.3在校体验</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lang w:val="en-US" w:eastAsia="zh-CN"/>
        </w:rPr>
        <w:t>1</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2.4就业质量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12</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2.5创新创业</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lang w:val="en-US" w:eastAsia="zh-CN"/>
        </w:rPr>
        <w:t>2</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2.6技能大赛</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lang w:val="en-US" w:eastAsia="zh-CN"/>
        </w:rPr>
        <w:t>3</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2.7升学情况</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15</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"_Toc437095180" </w:instrText>
      </w:r>
      <w:r>
        <w:rPr>
          <w:sz w:val="30"/>
          <w:szCs w:val="30"/>
        </w:rPr>
        <w:fldChar w:fldCharType="separate"/>
      </w:r>
      <w:r>
        <w:rPr>
          <w:rFonts w:hint="eastAsia" w:ascii="宋体" w:hAnsi="Times New Roman" w:eastAsia="宋体" w:cs="仿宋"/>
          <w:bCs/>
          <w:kern w:val="2"/>
          <w:sz w:val="30"/>
          <w:szCs w:val="30"/>
        </w:rPr>
        <w:t>3.教育教学质量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16</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"_Toc437095181" </w:instrText>
      </w:r>
      <w:r>
        <w:rPr>
          <w:sz w:val="30"/>
          <w:szCs w:val="30"/>
        </w:rPr>
        <w:fldChar w:fldCharType="separate"/>
      </w:r>
      <w:r>
        <w:rPr>
          <w:rFonts w:hint="eastAsia" w:ascii="宋体" w:hAnsi="Times New Roman" w:eastAsia="宋体" w:cs="仿宋"/>
          <w:bCs/>
          <w:kern w:val="2"/>
          <w:sz w:val="30"/>
          <w:szCs w:val="30"/>
        </w:rPr>
        <w:t>3.1专业建设质量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16</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"_Toc437095183" </w:instrText>
      </w:r>
      <w:r>
        <w:rPr>
          <w:sz w:val="30"/>
          <w:szCs w:val="30"/>
        </w:rPr>
        <w:fldChar w:fldCharType="separate"/>
      </w:r>
      <w:r>
        <w:rPr>
          <w:rFonts w:hint="eastAsia" w:ascii="宋体" w:hAnsi="Times New Roman" w:eastAsia="宋体" w:cs="仿宋"/>
          <w:bCs/>
          <w:kern w:val="2"/>
          <w:sz w:val="30"/>
          <w:szCs w:val="30"/>
        </w:rPr>
        <w:t>3.2课程建设质量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lang w:val="en-US" w:eastAsia="zh-CN"/>
        </w:rPr>
        <w:t>6</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"_Toc437095183" </w:instrText>
      </w:r>
      <w:r>
        <w:rPr>
          <w:sz w:val="30"/>
          <w:szCs w:val="30"/>
        </w:rPr>
        <w:fldChar w:fldCharType="separate"/>
      </w:r>
      <w:r>
        <w:rPr>
          <w:rFonts w:hint="eastAsia" w:ascii="宋体" w:hAnsi="Times New Roman" w:eastAsia="宋体" w:cs="仿宋"/>
          <w:bCs/>
          <w:kern w:val="2"/>
          <w:sz w:val="30"/>
          <w:szCs w:val="30"/>
        </w:rPr>
        <w:t>3.3教学方法改革</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18</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3.4数字化教学资源建设与应用</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w:t>
      </w:r>
      <w:r>
        <w:rPr>
          <w:rFonts w:hint="eastAsia" w:ascii="宋体" w:hAnsi="Times New Roman" w:eastAsia="宋体" w:cs="Times New Roman"/>
          <w:kern w:val="2"/>
          <w:sz w:val="30"/>
          <w:szCs w:val="30"/>
          <w:lang w:val="en-US" w:eastAsia="zh-CN"/>
        </w:rPr>
        <w:t>8</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3.5师资队伍建设</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19</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ind w:left="440" w:leftChars="200"/>
        <w:jc w:val="both"/>
        <w:textAlignment w:val="auto"/>
        <w:rPr>
          <w:rFonts w:ascii="Times New Roman" w:hAnsi="Times New Roman"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3.</w:t>
      </w:r>
      <w:r>
        <w:rPr>
          <w:rFonts w:hint="eastAsia" w:ascii="宋体" w:hAnsi="Times New Roman" w:eastAsia="宋体" w:cs="仿宋"/>
          <w:bCs/>
          <w:kern w:val="2"/>
          <w:sz w:val="30"/>
          <w:szCs w:val="30"/>
          <w:lang w:val="en-US" w:eastAsia="zh-CN"/>
        </w:rPr>
        <w:t>6</w:t>
      </w:r>
      <w:r>
        <w:rPr>
          <w:rFonts w:hint="eastAsia" w:ascii="宋体" w:hAnsi="Times New Roman" w:eastAsia="宋体" w:cs="仿宋"/>
          <w:bCs/>
          <w:kern w:val="2"/>
          <w:sz w:val="30"/>
          <w:szCs w:val="30"/>
        </w:rPr>
        <w:t>校企双元育人</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lang w:val="en-US" w:eastAsia="zh-CN"/>
        </w:rPr>
        <w:t>19</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"_Toc437095187" </w:instrText>
      </w:r>
      <w:r>
        <w:rPr>
          <w:sz w:val="30"/>
          <w:szCs w:val="30"/>
        </w:rPr>
        <w:fldChar w:fldCharType="separate"/>
      </w:r>
      <w:r>
        <w:rPr>
          <w:rFonts w:hint="eastAsia" w:ascii="宋体" w:hAnsi="Times New Roman" w:eastAsia="宋体" w:cs="黑体"/>
          <w:bCs/>
          <w:kern w:val="2"/>
          <w:sz w:val="30"/>
          <w:szCs w:val="30"/>
        </w:rPr>
        <w:t>4.国际合作质量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Fonts w:hint="eastAsia" w:ascii="宋体" w:hAnsi="Times New Roman" w:eastAsia="宋体" w:cs="Times New Roman"/>
          <w:kern w:val="2"/>
          <w:sz w:val="30"/>
          <w:szCs w:val="30"/>
        </w:rPr>
        <w:t>21</w:t>
      </w:r>
    </w:p>
    <w:p>
      <w:pPr>
        <w:keepNext w:val="0"/>
        <w:keepLines w:val="0"/>
        <w:pageBreakBefore w:val="0"/>
        <w:widowControl w:val="0"/>
        <w:tabs>
          <w:tab w:val="right" w:leader="dot" w:pos="8297"/>
        </w:tabs>
        <w:kinsoku/>
        <w:wordWrap/>
        <w:overflowPunct/>
        <w:topLinePunct w:val="0"/>
        <w:autoSpaceDE/>
        <w:autoSpaceDN/>
        <w:bidi w:val="0"/>
        <w:spacing w:line="240" w:lineRule="auto"/>
        <w:ind w:firstLine="600" w:firstLineChars="200"/>
        <w:jc w:val="both"/>
        <w:textAlignment w:val="auto"/>
        <w:rPr>
          <w:rFonts w:ascii="宋体" w:hAnsi="宋体" w:eastAsia="宋体" w:cs="Times New Roman"/>
          <w:kern w:val="2"/>
          <w:sz w:val="30"/>
          <w:szCs w:val="30"/>
        </w:rPr>
      </w:pPr>
      <w:r>
        <w:rPr>
          <w:sz w:val="30"/>
          <w:szCs w:val="30"/>
        </w:rPr>
        <w:fldChar w:fldCharType="begin"/>
      </w:r>
      <w:r>
        <w:rPr>
          <w:sz w:val="30"/>
          <w:szCs w:val="30"/>
        </w:rPr>
        <w:instrText xml:space="preserve"> HYPERLINK \l "_Toc437095185" </w:instrText>
      </w:r>
      <w:r>
        <w:rPr>
          <w:sz w:val="30"/>
          <w:szCs w:val="30"/>
        </w:rPr>
        <w:fldChar w:fldCharType="separate"/>
      </w:r>
      <w:r>
        <w:rPr>
          <w:rFonts w:hint="eastAsia" w:ascii="宋体" w:hAnsi="Times New Roman" w:eastAsia="宋体" w:cs="仿宋"/>
          <w:bCs/>
          <w:kern w:val="2"/>
          <w:sz w:val="30"/>
          <w:szCs w:val="30"/>
        </w:rPr>
        <w:t>4.1提升学生国际化素</w:t>
      </w:r>
      <w:r>
        <w:rPr>
          <w:rFonts w:hint="eastAsia" w:ascii="宋体" w:hAnsi="Times New Roman" w:eastAsia="宋体" w:cs="仿宋"/>
          <w:bCs/>
          <w:kern w:val="2"/>
          <w:sz w:val="30"/>
          <w:szCs w:val="30"/>
          <w:lang w:val="en-US" w:eastAsia="zh-CN"/>
        </w:rPr>
        <w:t>养</w:t>
      </w:r>
      <w:r>
        <w:rPr>
          <w:rFonts w:hint="eastAsia" w:ascii="宋体" w:hAnsi="Times New Roman" w:eastAsia="宋体" w:cs="仿宋"/>
          <w:bCs/>
          <w:kern w:val="2"/>
          <w:sz w:val="30"/>
          <w:szCs w:val="30"/>
        </w:rPr>
        <w:t>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t>21</w:t>
      </w:r>
      <w:r>
        <w:rPr>
          <w:rFonts w:hint="eastAsia" w:ascii="宋体" w:hAnsi="Times New Roman" w:eastAsia="宋体" w:cs="Times New Roman"/>
          <w:kern w:val="2"/>
          <w:sz w:val="30"/>
          <w:szCs w:val="30"/>
        </w:rPr>
        <w:fldChar w:fldCharType="end"/>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Style w:val="18"/>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"_Toc437095187" </w:instrText>
      </w:r>
      <w:r>
        <w:rPr>
          <w:sz w:val="30"/>
          <w:szCs w:val="30"/>
        </w:rPr>
        <w:fldChar w:fldCharType="separate"/>
      </w:r>
      <w:r>
        <w:rPr>
          <w:rFonts w:hint="eastAsia" w:ascii="宋体" w:hAnsi="Times New Roman" w:eastAsia="宋体" w:cs="黑体"/>
          <w:bCs/>
          <w:kern w:val="2"/>
          <w:sz w:val="30"/>
          <w:szCs w:val="30"/>
        </w:rPr>
        <w:t>5.服务贡献质量</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Fonts w:hint="eastAsia" w:ascii="宋体" w:hAnsi="Times New Roman" w:eastAsia="宋体" w:cs="Times New Roman"/>
          <w:kern w:val="2"/>
          <w:sz w:val="30"/>
          <w:szCs w:val="30"/>
        </w:rPr>
        <w:t>21</w:t>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Style w:val="18"/>
          <w:rFonts w:ascii="宋体" w:hAnsi="Times New Roman" w:eastAsia="宋体" w:cs="Times New Roman"/>
          <w:kern w:val="2"/>
          <w:sz w:val="30"/>
          <w:szCs w:val="30"/>
        </w:rPr>
      </w:pPr>
      <w:r>
        <w:rPr>
          <w:rFonts w:hint="eastAsia" w:ascii="宋体" w:hAnsi="Times New Roman" w:eastAsia="宋体" w:cs="Times New Roman"/>
          <w:kern w:val="2"/>
          <w:sz w:val="30"/>
          <w:szCs w:val="30"/>
        </w:rPr>
        <w:t xml:space="preserve">  </w:t>
      </w: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5</w:t>
      </w:r>
      <w:r>
        <w:rPr>
          <w:rFonts w:hint="eastAsia" w:ascii="宋体" w:hAnsi="Times New Roman" w:eastAsia="宋体" w:cs="仿宋"/>
          <w:sz w:val="30"/>
          <w:szCs w:val="30"/>
        </w:rPr>
        <w:t>.1服务行业产业</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21</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5</w:t>
      </w:r>
      <w:r>
        <w:rPr>
          <w:rFonts w:hint="eastAsia" w:ascii="宋体" w:hAnsi="Times New Roman" w:eastAsia="宋体" w:cs="仿宋"/>
          <w:sz w:val="30"/>
          <w:szCs w:val="30"/>
        </w:rPr>
        <w:t>.2服务地方发展</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22</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hint="eastAsia" w:ascii="宋体" w:hAnsi="Calibri" w:eastAsia="宋体" w:cs="Times New Roman"/>
          <w:kern w:val="2"/>
          <w:sz w:val="30"/>
          <w:szCs w:val="30"/>
          <w:lang w:eastAsia="zh-CN"/>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5</w:t>
      </w:r>
      <w:r>
        <w:rPr>
          <w:rFonts w:hint="eastAsia" w:ascii="宋体" w:hAnsi="Times New Roman" w:eastAsia="宋体" w:cs="仿宋"/>
          <w:sz w:val="30"/>
          <w:szCs w:val="30"/>
        </w:rPr>
        <w:t>.3具有本校特色的服务</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w:t>
      </w:r>
      <w:r>
        <w:rPr>
          <w:rStyle w:val="18"/>
          <w:rFonts w:hint="eastAsia" w:ascii="宋体" w:hAnsi="Calibri" w:eastAsia="宋体" w:cs="Times New Roman"/>
          <w:kern w:val="2"/>
          <w:sz w:val="30"/>
          <w:szCs w:val="30"/>
          <w:lang w:val="en-US" w:eastAsia="zh-CN"/>
        </w:rPr>
        <w:t>3</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5</w:t>
      </w:r>
      <w:r>
        <w:rPr>
          <w:rFonts w:hint="eastAsia" w:ascii="宋体" w:hAnsi="Times New Roman" w:eastAsia="宋体" w:cs="仿宋"/>
          <w:sz w:val="30"/>
          <w:szCs w:val="30"/>
        </w:rPr>
        <w:t>.4服务抗疫</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24</w:t>
      </w:r>
    </w:p>
    <w:p>
      <w:pPr>
        <w:keepNext w:val="0"/>
        <w:keepLines w:val="0"/>
        <w:pageBreakBefore w:val="0"/>
        <w:widowControl w:val="0"/>
        <w:kinsoku/>
        <w:wordWrap/>
        <w:overflowPunct/>
        <w:topLinePunct w:val="0"/>
        <w:autoSpaceDE/>
        <w:autoSpaceDN/>
        <w:bidi w:val="0"/>
        <w:adjustRightInd/>
        <w:snapToGrid/>
        <w:spacing w:after="0" w:line="240" w:lineRule="auto"/>
        <w:ind w:left="540" w:hanging="450" w:hangingChars="150"/>
        <w:textAlignment w:val="auto"/>
        <w:rPr>
          <w:rFonts w:ascii="宋体" w:hAnsi="Times New Roman" w:eastAsia="宋体" w:cs="Times New Roman"/>
          <w:kern w:val="2"/>
          <w:sz w:val="30"/>
          <w:szCs w:val="30"/>
        </w:rPr>
      </w:pPr>
      <w:r>
        <w:rPr>
          <w:rFonts w:hint="eastAsia" w:ascii="宋体" w:hAnsi="Times New Roman" w:eastAsia="宋体" w:cs="Times New Roman"/>
          <w:kern w:val="2"/>
          <w:sz w:val="30"/>
          <w:szCs w:val="30"/>
        </w:rPr>
        <w:t>6.</w:t>
      </w:r>
      <w:r>
        <w:rPr>
          <w:sz w:val="30"/>
          <w:szCs w:val="30"/>
        </w:rPr>
        <w:fldChar w:fldCharType="begin"/>
      </w:r>
      <w:r>
        <w:rPr>
          <w:sz w:val="30"/>
          <w:szCs w:val="30"/>
        </w:rPr>
        <w:instrText xml:space="preserve"> HYPERLINK \l "_Toc437095195" </w:instrText>
      </w:r>
      <w:r>
        <w:rPr>
          <w:sz w:val="30"/>
          <w:szCs w:val="30"/>
        </w:rPr>
        <w:fldChar w:fldCharType="separate"/>
      </w:r>
      <w:r>
        <w:rPr>
          <w:rFonts w:hint="eastAsia" w:ascii="宋体" w:hAnsi="Times New Roman" w:eastAsia="宋体" w:cs="仿宋"/>
          <w:bCs/>
          <w:kern w:val="2"/>
          <w:sz w:val="30"/>
          <w:szCs w:val="30"/>
        </w:rPr>
        <w:t>政策落实</w:t>
      </w:r>
      <w:r>
        <w:rPr>
          <w:rFonts w:hint="eastAsia" w:ascii="Times New Roman" w:hAnsi="Times New Roman" w:eastAsia="宋体" w:cs="Times New Roman"/>
          <w:kern w:val="2"/>
          <w:sz w:val="30"/>
          <w:szCs w:val="30"/>
        </w:rPr>
        <w:t>质量</w:t>
      </w:r>
      <w:r>
        <w:rPr>
          <w:rFonts w:hint="eastAsia" w:ascii="Times New Roman" w:hAnsi="Times New Roman" w:eastAsia="宋体" w:cs="Times New Roman"/>
          <w:kern w:val="2"/>
          <w:sz w:val="30"/>
          <w:szCs w:val="30"/>
        </w:rPr>
        <w:fldChar w:fldCharType="end"/>
      </w:r>
      <w:r>
        <w:rPr>
          <w:rFonts w:hint="eastAsia" w:ascii="宋体" w:hAnsi="Times New Roman" w:eastAsia="宋体" w:cs="Times New Roman"/>
          <w:kern w:val="2"/>
          <w:sz w:val="30"/>
          <w:szCs w:val="30"/>
        </w:rPr>
        <w:t>.......................................25</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Times New Roman"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6</w:t>
      </w:r>
      <w:r>
        <w:rPr>
          <w:rFonts w:hint="eastAsia" w:ascii="宋体" w:hAnsi="Times New Roman" w:eastAsia="宋体" w:cs="仿宋"/>
          <w:sz w:val="30"/>
          <w:szCs w:val="30"/>
        </w:rPr>
        <w:t>.1国家政策落实</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25</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Calibri"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6</w:t>
      </w:r>
      <w:r>
        <w:rPr>
          <w:rFonts w:hint="eastAsia" w:ascii="宋体" w:hAnsi="Times New Roman" w:eastAsia="宋体" w:cs="仿宋"/>
          <w:sz w:val="30"/>
          <w:szCs w:val="30"/>
        </w:rPr>
        <w:t>.2地方政策落实</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25</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Calibri"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6</w:t>
      </w:r>
      <w:r>
        <w:rPr>
          <w:rFonts w:hint="eastAsia" w:ascii="宋体" w:hAnsi="Times New Roman" w:eastAsia="宋体" w:cs="仿宋"/>
          <w:sz w:val="30"/>
          <w:szCs w:val="30"/>
        </w:rPr>
        <w:t>.3学校治理</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26</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Calibri"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6</w:t>
      </w:r>
      <w:r>
        <w:rPr>
          <w:rFonts w:hint="eastAsia" w:ascii="宋体" w:hAnsi="Times New Roman" w:eastAsia="宋体" w:cs="仿宋"/>
          <w:sz w:val="30"/>
          <w:szCs w:val="30"/>
        </w:rPr>
        <w:t>.4质量保证体系建设</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26</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Calibri"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6</w:t>
      </w:r>
      <w:r>
        <w:rPr>
          <w:rFonts w:hint="eastAsia" w:ascii="宋体" w:hAnsi="Times New Roman" w:eastAsia="宋体" w:cs="仿宋"/>
          <w:sz w:val="30"/>
          <w:szCs w:val="30"/>
        </w:rPr>
        <w:t>.5经费投入</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28</w:t>
      </w:r>
    </w:p>
    <w:p>
      <w:pPr>
        <w:keepNext w:val="0"/>
        <w:keepLines w:val="0"/>
        <w:pageBreakBefore w:val="0"/>
        <w:widowControl w:val="0"/>
        <w:tabs>
          <w:tab w:val="right" w:leader="dot" w:pos="8297"/>
        </w:tabs>
        <w:kinsoku/>
        <w:wordWrap/>
        <w:overflowPunct/>
        <w:topLinePunct w:val="0"/>
        <w:autoSpaceDE/>
        <w:autoSpaceDN/>
        <w:bidi w:val="0"/>
        <w:spacing w:line="240" w:lineRule="auto"/>
        <w:jc w:val="both"/>
        <w:textAlignment w:val="auto"/>
        <w:rPr>
          <w:rFonts w:ascii="宋体" w:hAnsi="Times New Roman" w:eastAsia="宋体" w:cs="Times New Roman"/>
          <w:kern w:val="2"/>
          <w:sz w:val="30"/>
          <w:szCs w:val="30"/>
        </w:rPr>
      </w:pPr>
      <w:r>
        <w:rPr>
          <w:rFonts w:hint="eastAsia" w:ascii="宋体" w:hAnsi="Times New Roman" w:eastAsia="宋体" w:cs="Times New Roman"/>
          <w:kern w:val="2"/>
          <w:sz w:val="30"/>
          <w:szCs w:val="30"/>
        </w:rPr>
        <w:t>7</w:t>
      </w:r>
      <w:r>
        <w:rPr>
          <w:sz w:val="30"/>
          <w:szCs w:val="30"/>
        </w:rPr>
        <w:fldChar w:fldCharType="begin"/>
      </w:r>
      <w:r>
        <w:rPr>
          <w:sz w:val="30"/>
          <w:szCs w:val="30"/>
        </w:rPr>
        <w:instrText xml:space="preserve"> HYPERLINK \l "_Toc437095195" </w:instrText>
      </w:r>
      <w:r>
        <w:rPr>
          <w:sz w:val="30"/>
          <w:szCs w:val="30"/>
        </w:rPr>
        <w:fldChar w:fldCharType="separate"/>
      </w:r>
      <w:r>
        <w:rPr>
          <w:rFonts w:hint="eastAsia" w:ascii="宋体" w:hAnsi="Times New Roman" w:eastAsia="宋体" w:cs="仿宋"/>
          <w:bCs/>
          <w:kern w:val="2"/>
          <w:sz w:val="30"/>
          <w:szCs w:val="30"/>
        </w:rPr>
        <w:t>.挑战与展望</w:t>
      </w:r>
      <w:r>
        <w:rPr>
          <w:rFonts w:hint="eastAsia" w:ascii="宋体" w:hAnsi="Times New Roman" w:eastAsia="宋体" w:cs="Times New Roman"/>
          <w:kern w:val="2"/>
          <w:sz w:val="30"/>
          <w:szCs w:val="30"/>
        </w:rPr>
        <w:t>.</w:t>
      </w:r>
      <w:r>
        <w:rPr>
          <w:rFonts w:hint="eastAsia" w:ascii="宋体" w:hAnsi="Times New Roman" w:eastAsia="宋体" w:cs="Times New Roman"/>
          <w:kern w:val="2"/>
          <w:sz w:val="30"/>
          <w:szCs w:val="30"/>
        </w:rPr>
        <w:fldChar w:fldCharType="end"/>
      </w:r>
      <w:r>
        <w:rPr>
          <w:rFonts w:hint="eastAsia" w:ascii="宋体" w:hAnsi="Times New Roman" w:eastAsia="宋体" w:cs="Times New Roman"/>
          <w:kern w:val="2"/>
          <w:sz w:val="30"/>
          <w:szCs w:val="30"/>
        </w:rPr>
        <w:t>........................................28</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Style w:val="18"/>
          <w:rFonts w:ascii="宋体" w:hAnsi="Calibri" w:eastAsia="宋体" w:cs="Times New Roman"/>
          <w:kern w:val="2"/>
          <w:sz w:val="30"/>
          <w:szCs w:val="30"/>
        </w:r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7</w:t>
      </w:r>
      <w:r>
        <w:rPr>
          <w:rFonts w:hint="eastAsia" w:ascii="宋体" w:hAnsi="Times New Roman" w:eastAsia="宋体" w:cs="仿宋"/>
          <w:sz w:val="30"/>
          <w:szCs w:val="30"/>
        </w:rPr>
        <w:t>.1面临挑战</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28</w:t>
      </w:r>
    </w:p>
    <w:p>
      <w:pPr>
        <w:keepNext w:val="0"/>
        <w:keepLines w:val="0"/>
        <w:pageBreakBefore w:val="0"/>
        <w:widowControl w:val="0"/>
        <w:tabs>
          <w:tab w:val="right" w:leader="dot" w:pos="8297"/>
        </w:tabs>
        <w:kinsoku/>
        <w:wordWrap/>
        <w:overflowPunct/>
        <w:topLinePunct w:val="0"/>
        <w:autoSpaceDE/>
        <w:autoSpaceDN/>
        <w:bidi w:val="0"/>
        <w:spacing w:line="240" w:lineRule="auto"/>
        <w:ind w:firstLine="450" w:firstLineChars="150"/>
        <w:jc w:val="both"/>
        <w:textAlignment w:val="auto"/>
        <w:rPr>
          <w:rFonts w:ascii="宋体" w:hAnsi="宋体" w:eastAsia="宋体" w:cs="Times New Roman"/>
          <w:kern w:val="2"/>
          <w:sz w:val="30"/>
          <w:szCs w:val="30"/>
        </w:rPr>
        <w:sectPr>
          <w:footerReference r:id="rId5" w:type="default"/>
          <w:pgSz w:w="11907" w:h="16839"/>
          <w:pgMar w:top="1440" w:right="1800" w:bottom="1440" w:left="1800" w:header="851" w:footer="992" w:gutter="0"/>
          <w:pgNumType w:start="1" w:chapStyle="1"/>
          <w:cols w:space="720" w:num="1"/>
          <w:docGrid w:type="lines" w:linePitch="312" w:charSpace="0"/>
        </w:sectPr>
      </w:pPr>
      <w:r>
        <w:rPr>
          <w:sz w:val="30"/>
          <w:szCs w:val="30"/>
        </w:rPr>
        <w:fldChar w:fldCharType="begin"/>
      </w:r>
      <w:r>
        <w:rPr>
          <w:sz w:val="30"/>
          <w:szCs w:val="30"/>
        </w:rPr>
        <w:instrText xml:space="preserve"> HYPERLINK \l "_Toc437095188" </w:instrText>
      </w:r>
      <w:r>
        <w:rPr>
          <w:sz w:val="30"/>
          <w:szCs w:val="30"/>
        </w:rPr>
        <w:fldChar w:fldCharType="separate"/>
      </w:r>
      <w:r>
        <w:rPr>
          <w:rFonts w:hint="eastAsia" w:ascii="宋体" w:hAnsi="Times New Roman" w:eastAsia="宋体" w:cs="Times New Roman"/>
          <w:kern w:val="2"/>
          <w:sz w:val="30"/>
          <w:szCs w:val="30"/>
        </w:rPr>
        <w:t>7</w:t>
      </w:r>
      <w:r>
        <w:rPr>
          <w:rFonts w:hint="eastAsia" w:ascii="宋体" w:hAnsi="Times New Roman" w:eastAsia="宋体" w:cs="仿宋"/>
          <w:sz w:val="30"/>
          <w:szCs w:val="30"/>
        </w:rPr>
        <w:t>.2未来展望</w:t>
      </w:r>
      <w:r>
        <w:rPr>
          <w:rFonts w:hint="eastAsia" w:ascii="宋体" w:hAnsi="Times New Roman" w:eastAsia="宋体" w:cs="Times New Roman"/>
          <w:kern w:val="2"/>
          <w:sz w:val="30"/>
          <w:szCs w:val="30"/>
        </w:rPr>
        <w:tab/>
      </w:r>
      <w:r>
        <w:rPr>
          <w:rFonts w:hint="eastAsia" w:ascii="宋体" w:hAnsi="Times New Roman" w:eastAsia="宋体" w:cs="Times New Roman"/>
          <w:kern w:val="2"/>
          <w:sz w:val="30"/>
          <w:szCs w:val="30"/>
        </w:rPr>
        <w:fldChar w:fldCharType="end"/>
      </w:r>
      <w:r>
        <w:rPr>
          <w:rStyle w:val="18"/>
          <w:rFonts w:hint="eastAsia" w:ascii="宋体" w:hAnsi="Calibri" w:eastAsia="宋体" w:cs="Times New Roman"/>
          <w:kern w:val="2"/>
          <w:sz w:val="30"/>
          <w:szCs w:val="30"/>
        </w:rPr>
        <w:t>29</w:t>
      </w:r>
    </w:p>
    <w:p>
      <w:pPr>
        <w:widowControl w:val="0"/>
        <w:adjustRightInd/>
        <w:snapToGrid/>
        <w:spacing w:after="0"/>
        <w:rPr>
          <w:rFonts w:ascii="Times New Roman" w:hAnsi="Times New Roman" w:eastAsia="宋体" w:cs="Times New Roman"/>
          <w:kern w:val="2"/>
          <w:sz w:val="24"/>
          <w:szCs w:val="24"/>
        </w:rPr>
      </w:pP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center"/>
        <w:textAlignment w:val="auto"/>
        <w:rPr>
          <w:rFonts w:ascii="宋体" w:hAnsi="Times New Roman" w:eastAsia="宋体" w:cs="Times New Roman"/>
          <w:kern w:val="2"/>
          <w:sz w:val="24"/>
          <w:szCs w:val="24"/>
        </w:rPr>
      </w:pPr>
      <w:r>
        <w:rPr>
          <w:rFonts w:hint="eastAsia" w:ascii="宋体" w:hAnsi="Times New Roman" w:eastAsia="宋体" w:cs="Times New Roman"/>
          <w:bCs/>
          <w:kern w:val="2"/>
          <w:sz w:val="24"/>
          <w:szCs w:val="24"/>
          <w:lang w:val="zh-CN"/>
        </w:rPr>
        <w:fldChar w:fldCharType="end"/>
      </w:r>
      <w:r>
        <w:rPr>
          <w:rFonts w:hint="eastAsia" w:ascii="宋体" w:hAnsi="Times New Roman" w:eastAsia="宋体" w:cs="Times New Roman"/>
          <w:kern w:val="2"/>
          <w:sz w:val="24"/>
          <w:szCs w:val="24"/>
        </w:rPr>
        <w:t>图表索引</w:t>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宋体" w:hAnsi="宋体" w:eastAsia="宋体" w:cs="Times New Roman"/>
          <w:kern w:val="2"/>
          <w:sz w:val="24"/>
          <w:szCs w:val="24"/>
        </w:rPr>
      </w:pPr>
      <w:r>
        <w:rPr>
          <w:rFonts w:hint="eastAsia" w:ascii="宋体" w:hAnsi="宋体" w:eastAsia="宋体" w:cs="Times New Roman"/>
          <w:kern w:val="2"/>
          <w:sz w:val="24"/>
          <w:szCs w:val="24"/>
        </w:rPr>
        <w:t>表1：学生情况表</w:t>
      </w:r>
      <w:r>
        <w:rPr>
          <w:rFonts w:hint="eastAsia" w:ascii="宋体" w:hAnsi="宋体" w:eastAsia="宋体" w:cs="Times New Roman"/>
          <w:kern w:val="2"/>
          <w:sz w:val="24"/>
          <w:szCs w:val="24"/>
        </w:rPr>
        <w:tab/>
      </w:r>
      <w:r>
        <w:rPr>
          <w:rFonts w:hint="eastAsia" w:ascii="宋体" w:hAnsi="宋体" w:eastAsia="宋体" w:cs="Times New Roman"/>
          <w:kern w:val="2"/>
          <w:sz w:val="24"/>
          <w:szCs w:val="24"/>
        </w:rPr>
        <w:t>2</w:t>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表2:师资队伍数据对比</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宋体"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表3:设备设施</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3</w:t>
      </w:r>
      <w:r>
        <w:rPr>
          <w:rFonts w:hint="eastAsia" w:ascii="宋体" w:hAnsi="Times New Roman" w:eastAsia="宋体" w:cs="Times New Roman"/>
          <w:kern w:val="2"/>
          <w:sz w:val="24"/>
          <w:szCs w:val="24"/>
        </w:rPr>
        <w:fldChar w:fldCharType="end"/>
      </w:r>
    </w:p>
    <w:p>
      <w:pPr>
        <w:keepNext w:val="0"/>
        <w:keepLines w:val="0"/>
        <w:pageBreakBefore w:val="0"/>
        <w:kinsoku/>
        <w:wordWrap/>
        <w:overflowPunct/>
        <w:topLinePunct w:val="0"/>
        <w:autoSpaceDE/>
        <w:autoSpaceDN/>
        <w:bidi w:val="0"/>
        <w:adjustRightInd w:val="0"/>
        <w:snapToGrid w:val="0"/>
        <w:spacing w:line="240" w:lineRule="auto"/>
        <w:ind w:firstLine="240" w:firstLineChars="100"/>
        <w:jc w:val="center"/>
        <w:textAlignment w:val="auto"/>
        <w:rPr>
          <w:rFonts w:ascii="宋体"/>
          <w:sz w:val="24"/>
          <w:szCs w:val="24"/>
        </w:rPr>
        <w:sectPr>
          <w:footerReference r:id="rId6" w:type="default"/>
          <w:pgSz w:w="11907" w:h="16839"/>
          <w:pgMar w:top="1440" w:right="1800" w:bottom="1440" w:left="1800" w:header="851" w:footer="992" w:gutter="0"/>
          <w:pgNumType w:start="1" w:chapStyle="1"/>
          <w:cols w:space="720" w:num="1"/>
          <w:docGrid w:type="lines" w:linePitch="312" w:charSpace="0"/>
        </w:sectPr>
      </w:pP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图1:党员</w:t>
      </w:r>
      <w:r>
        <w:rPr>
          <w:rFonts w:hint="eastAsia" w:ascii="宋体" w:hAnsi="Times New Roman" w:eastAsia="宋体" w:cs="仿宋"/>
          <w:bCs/>
          <w:kern w:val="2"/>
          <w:sz w:val="24"/>
          <w:szCs w:val="24"/>
          <w:lang w:val="en-US" w:eastAsia="zh-CN"/>
        </w:rPr>
        <w:t>教师重温入党誓词</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lang w:val="en-US" w:eastAsia="zh-CN"/>
        </w:rPr>
        <w:t>4</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图2：学生参加“劳动教育”活动</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lang w:val="en-US" w:eastAsia="zh-CN"/>
        </w:rPr>
        <w:t>7</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宋体"/>
          <w:sz w:val="24"/>
          <w:szCs w:val="24"/>
        </w:rPr>
        <w:sectPr>
          <w:footerReference r:id="rId7" w:type="default"/>
          <w:type w:val="continuous"/>
          <w:pgSz w:w="11907" w:h="16839"/>
          <w:pgMar w:top="1440" w:right="1800" w:bottom="1440" w:left="1800" w:header="851" w:footer="992" w:gutter="0"/>
          <w:pgNumType w:start="3" w:chapStyle="1"/>
          <w:cols w:space="720" w:num="1"/>
          <w:docGrid w:type="lines" w:linePitch="312" w:charSpace="0"/>
        </w:sect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图3：学校跆拳道社团跑步热身</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9</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图4：学生作品《文·彩》</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lang w:val="en-US" w:eastAsia="zh-CN"/>
        </w:rPr>
        <w:t>9</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图5：学生作品《科技与昆曲》</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10</w:t>
      </w:r>
      <w:r>
        <w:rPr>
          <w:rFonts w:hint="eastAsia" w:ascii="宋体" w:hAnsi="Times New Roman" w:eastAsia="宋体" w:cs="Times New Roman"/>
          <w:kern w:val="2"/>
          <w:sz w:val="24"/>
          <w:szCs w:val="24"/>
        </w:rPr>
        <w:fldChar w:fldCharType="end"/>
      </w:r>
    </w:p>
    <w:p>
      <w:pPr>
        <w:keepNext w:val="0"/>
        <w:keepLines w:val="0"/>
        <w:pageBreakBefore w:val="0"/>
        <w:kinsoku/>
        <w:wordWrap/>
        <w:overflowPunct/>
        <w:topLinePunct w:val="0"/>
        <w:autoSpaceDE/>
        <w:autoSpaceDN/>
        <w:bidi w:val="0"/>
        <w:adjustRightInd w:val="0"/>
        <w:snapToGrid w:val="0"/>
        <w:spacing w:line="240" w:lineRule="auto"/>
        <w:ind w:firstLine="240" w:firstLineChars="100"/>
        <w:jc w:val="center"/>
        <w:textAlignment w:val="auto"/>
        <w:rPr>
          <w:rFonts w:ascii="宋体"/>
          <w:sz w:val="24"/>
          <w:szCs w:val="24"/>
        </w:rPr>
        <w:sectPr>
          <w:footerReference r:id="rId8" w:type="default"/>
          <w:type w:val="continuous"/>
          <w:pgSz w:w="11907" w:h="16839"/>
          <w:pgMar w:top="1440" w:right="1800" w:bottom="1440" w:left="1800" w:header="851" w:footer="992" w:gutter="0"/>
          <w:pgNumType w:start="3" w:chapStyle="1"/>
          <w:cols w:space="720" w:num="1"/>
          <w:docGrid w:type="lines" w:linePitch="312" w:charSpace="0"/>
        </w:sectPr>
      </w:pP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宋体" w:hAnsi="Times New Roman" w:eastAsia="宋体" w:cs="Times New Roman"/>
          <w:kern w:val="2"/>
          <w:sz w:val="24"/>
          <w:szCs w:val="24"/>
        </w:rPr>
      </w:pPr>
      <w:r>
        <w:rPr>
          <w:rFonts w:hint="eastAsia" w:ascii="Times New Roman" w:hAnsi="Times New Roman" w:eastAsia="宋体" w:cs="Times New Roman"/>
          <w:kern w:val="2"/>
          <w:sz w:val="24"/>
          <w:szCs w:val="24"/>
        </w:rPr>
        <w:t>图</w:t>
      </w: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6：学生作品《高举旗帜》</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w:t>
      </w:r>
      <w:r>
        <w:rPr>
          <w:rFonts w:hint="eastAsia" w:ascii="宋体" w:hAnsi="Times New Roman" w:eastAsia="宋体" w:cs="Times New Roman"/>
          <w:kern w:val="2"/>
          <w:sz w:val="24"/>
          <w:szCs w:val="24"/>
          <w:lang w:val="en-US" w:eastAsia="zh-CN"/>
        </w:rPr>
        <w:t>0</w:t>
      </w:r>
      <w:r>
        <w:rPr>
          <w:rFonts w:hint="eastAsia" w:ascii="宋体" w:hAnsi="Times New Roman" w:eastAsia="宋体" w:cs="Times New Roman"/>
          <w:kern w:val="2"/>
          <w:sz w:val="24"/>
          <w:szCs w:val="24"/>
        </w:rPr>
        <w:fldChar w:fldCharType="end"/>
      </w:r>
    </w:p>
    <w:p>
      <w:pPr>
        <w:keepNext w:val="0"/>
        <w:keepLines w:val="0"/>
        <w:pageBreakBefore w:val="0"/>
        <w:kinsoku/>
        <w:wordWrap/>
        <w:overflowPunct/>
        <w:topLinePunct w:val="0"/>
        <w:autoSpaceDE/>
        <w:autoSpaceDN/>
        <w:bidi w:val="0"/>
        <w:adjustRightInd w:val="0"/>
        <w:snapToGrid w:val="0"/>
        <w:spacing w:line="240" w:lineRule="auto"/>
        <w:ind w:firstLine="240" w:firstLineChars="100"/>
        <w:jc w:val="center"/>
        <w:textAlignment w:val="auto"/>
        <w:rPr>
          <w:rFonts w:ascii="宋体"/>
          <w:sz w:val="24"/>
          <w:szCs w:val="24"/>
        </w:rPr>
        <w:sectPr>
          <w:footerReference r:id="rId9" w:type="default"/>
          <w:type w:val="continuous"/>
          <w:pgSz w:w="11907" w:h="16839"/>
          <w:pgMar w:top="1440" w:right="1800" w:bottom="1440" w:left="1800" w:header="851" w:footer="992" w:gutter="0"/>
          <w:pgNumType w:start="3" w:chapStyle="1"/>
          <w:cols w:space="720" w:num="1"/>
          <w:docGrid w:type="lines" w:linePitch="312" w:charSpace="0"/>
        </w:sectPr>
      </w:pP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宋体"/>
          <w:sz w:val="24"/>
          <w:szCs w:val="24"/>
        </w:rPr>
        <w:sectPr>
          <w:footerReference r:id="rId10" w:type="default"/>
          <w:type w:val="continuous"/>
          <w:pgSz w:w="11907" w:h="16839"/>
          <w:pgMar w:top="1440" w:right="1800" w:bottom="1440" w:left="1800" w:header="851" w:footer="992" w:gutter="0"/>
          <w:pgNumType w:start="3" w:chapStyle="1"/>
          <w:cols w:space="720" w:num="1"/>
          <w:docGrid w:type="lines" w:linePitch="312" w:charSpace="0"/>
        </w:sect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宋体" w:eastAsia="宋体" w:cs="Times New Roman"/>
          <w:color w:val="000000"/>
          <w:kern w:val="2"/>
          <w:sz w:val="24"/>
          <w:szCs w:val="24"/>
        </w:rPr>
        <w:t>图7：学生文化基础教育</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11</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hint="eastAsia" w:ascii="宋体"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表4：满意度调查表</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w:t>
      </w:r>
      <w:r>
        <w:rPr>
          <w:rFonts w:hint="eastAsia" w:ascii="宋体" w:hAnsi="Times New Roman" w:eastAsia="宋体" w:cs="Times New Roman"/>
          <w:kern w:val="2"/>
          <w:sz w:val="24"/>
          <w:szCs w:val="24"/>
          <w:lang w:val="en-US" w:eastAsia="zh-CN"/>
        </w:rPr>
        <w:t>1</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图8：毕业生就业质量</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w:t>
      </w:r>
      <w:r>
        <w:rPr>
          <w:rFonts w:hint="eastAsia" w:ascii="宋体" w:hAnsi="Times New Roman" w:eastAsia="宋体" w:cs="Times New Roman"/>
          <w:kern w:val="2"/>
          <w:sz w:val="24"/>
          <w:szCs w:val="24"/>
          <w:lang w:val="en-US" w:eastAsia="zh-CN"/>
        </w:rPr>
        <w:t>2</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图9：</w:t>
      </w:r>
      <w:r>
        <w:rPr>
          <w:rFonts w:hint="eastAsia" w:ascii="宋体" w:hAnsi="Times New Roman" w:eastAsia="宋体" w:cs="仿宋"/>
          <w:bCs/>
          <w:kern w:val="2"/>
          <w:sz w:val="24"/>
          <w:szCs w:val="24"/>
          <w:lang w:val="en-US" w:eastAsia="zh-CN"/>
        </w:rPr>
        <w:t>学生</w:t>
      </w:r>
      <w:r>
        <w:rPr>
          <w:rFonts w:hint="eastAsia" w:ascii="宋体" w:hAnsi="Times New Roman" w:eastAsia="宋体" w:cs="仿宋"/>
          <w:bCs/>
          <w:kern w:val="2"/>
          <w:sz w:val="24"/>
          <w:szCs w:val="24"/>
        </w:rPr>
        <w:t>参加技能大赛</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w:t>
      </w:r>
      <w:r>
        <w:rPr>
          <w:rFonts w:hint="eastAsia" w:ascii="宋体" w:hAnsi="Times New Roman" w:eastAsia="宋体" w:cs="Times New Roman"/>
          <w:kern w:val="2"/>
          <w:sz w:val="24"/>
          <w:szCs w:val="24"/>
          <w:lang w:val="en-US" w:eastAsia="zh-CN"/>
        </w:rPr>
        <w:t>4</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表5:技能大赛</w:t>
      </w:r>
      <w:r>
        <w:rPr>
          <w:rFonts w:hint="eastAsia" w:ascii="宋体" w:hAnsi="Times New Roman" w:eastAsia="宋体" w:cs="仿宋"/>
          <w:bCs/>
          <w:kern w:val="2"/>
          <w:sz w:val="24"/>
          <w:szCs w:val="24"/>
          <w:lang w:val="en-US" w:eastAsia="zh-CN"/>
        </w:rPr>
        <w:t>师生</w:t>
      </w:r>
      <w:r>
        <w:rPr>
          <w:rFonts w:hint="eastAsia" w:ascii="宋体" w:hAnsi="Times New Roman" w:eastAsia="宋体" w:cs="仿宋"/>
          <w:bCs/>
          <w:kern w:val="2"/>
          <w:sz w:val="24"/>
          <w:szCs w:val="24"/>
        </w:rPr>
        <w:t>获奖情况</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15</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图10：毕业生升学情况</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16</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hint="eastAsia" w:ascii="宋体"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图11：</w:t>
      </w:r>
      <w:r>
        <w:rPr>
          <w:rFonts w:hint="eastAsia" w:ascii="宋体" w:hAnsi="Times New Roman" w:eastAsia="宋体" w:cs="仿宋"/>
          <w:bCs/>
          <w:kern w:val="2"/>
          <w:sz w:val="24"/>
          <w:szCs w:val="24"/>
          <w:lang w:val="en-US" w:eastAsia="zh-CN"/>
        </w:rPr>
        <w:t>学生实习岗前培训</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w:t>
      </w:r>
      <w:r>
        <w:rPr>
          <w:rFonts w:hint="eastAsia" w:ascii="宋体" w:hAnsi="Times New Roman" w:eastAsia="宋体" w:cs="Times New Roman"/>
          <w:kern w:val="2"/>
          <w:sz w:val="24"/>
          <w:szCs w:val="24"/>
          <w:lang w:val="en-US" w:eastAsia="zh-CN"/>
        </w:rPr>
        <w:t>1</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w:t>
      </w:r>
      <w:r>
        <w:rPr>
          <w:rFonts w:hint="eastAsia" w:ascii="宋体" w:hAnsi="Times New Roman" w:eastAsia="宋体" w:cs="仿宋"/>
          <w:bCs/>
          <w:kern w:val="2"/>
          <w:sz w:val="24"/>
          <w:szCs w:val="24"/>
          <w:lang w:val="en-US" w:eastAsia="zh-CN"/>
        </w:rPr>
        <w:t>2</w:t>
      </w:r>
      <w:r>
        <w:rPr>
          <w:rFonts w:hint="eastAsia" w:ascii="宋体" w:hAnsi="Times New Roman" w:eastAsia="宋体" w:cs="仿宋"/>
          <w:bCs/>
          <w:kern w:val="2"/>
          <w:sz w:val="24"/>
          <w:szCs w:val="24"/>
        </w:rPr>
        <w:t>：模拟舱安全演示</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22</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w:t>
      </w:r>
      <w:r>
        <w:rPr>
          <w:rFonts w:hint="eastAsia" w:ascii="宋体" w:hAnsi="Times New Roman" w:eastAsia="宋体" w:cs="仿宋"/>
          <w:bCs/>
          <w:kern w:val="2"/>
          <w:sz w:val="24"/>
          <w:szCs w:val="24"/>
          <w:lang w:val="en-US" w:eastAsia="zh-CN"/>
        </w:rPr>
        <w:t>3</w:t>
      </w:r>
      <w:r>
        <w:rPr>
          <w:rFonts w:hint="eastAsia" w:ascii="宋体" w:hAnsi="Times New Roman" w:eastAsia="宋体" w:cs="仿宋"/>
          <w:bCs/>
          <w:kern w:val="2"/>
          <w:sz w:val="24"/>
          <w:szCs w:val="24"/>
        </w:rPr>
        <w:t>：学生参加周庄中秋灯会开幕式</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23</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w:t>
      </w:r>
      <w:r>
        <w:rPr>
          <w:rFonts w:hint="eastAsia" w:ascii="宋体" w:hAnsi="Times New Roman" w:eastAsia="宋体" w:cs="仿宋"/>
          <w:bCs/>
          <w:kern w:val="2"/>
          <w:sz w:val="24"/>
          <w:szCs w:val="24"/>
          <w:lang w:val="en-US" w:eastAsia="zh-CN"/>
        </w:rPr>
        <w:t>4</w:t>
      </w:r>
      <w:r>
        <w:rPr>
          <w:rFonts w:hint="eastAsia" w:ascii="宋体" w:hAnsi="Times New Roman" w:eastAsia="宋体" w:cs="仿宋"/>
          <w:bCs/>
          <w:kern w:val="2"/>
          <w:sz w:val="24"/>
          <w:szCs w:val="24"/>
        </w:rPr>
        <w:t>：学生参加锦溪丰收节</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23</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w:t>
      </w:r>
      <w:r>
        <w:rPr>
          <w:rFonts w:hint="eastAsia" w:ascii="宋体" w:hAnsi="Times New Roman" w:eastAsia="宋体" w:cs="仿宋"/>
          <w:bCs/>
          <w:kern w:val="2"/>
          <w:sz w:val="24"/>
          <w:szCs w:val="24"/>
          <w:lang w:val="en-US" w:eastAsia="zh-CN"/>
        </w:rPr>
        <w:t>5</w:t>
      </w:r>
      <w:r>
        <w:rPr>
          <w:rFonts w:hint="eastAsia" w:ascii="宋体" w:hAnsi="Times New Roman" w:eastAsia="宋体" w:cs="仿宋"/>
          <w:bCs/>
          <w:kern w:val="2"/>
          <w:sz w:val="24"/>
          <w:szCs w:val="24"/>
        </w:rPr>
        <w:t>：学生参与抗疫志愿者活动</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24</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Times New Roman" w:hAnsi="Times New Roman" w:eastAsia="宋体" w:cs="Times New Roman"/>
          <w:kern w:val="2"/>
          <w:sz w:val="24"/>
          <w:szCs w:val="24"/>
        </w:r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表6:财政拨款情况</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25</w:t>
      </w:r>
      <w:r>
        <w:rPr>
          <w:rFonts w:hint="eastAsia" w:ascii="宋体" w:hAnsi="Times New Roman" w:eastAsia="宋体" w:cs="Times New Roman"/>
          <w:kern w:val="2"/>
          <w:sz w:val="24"/>
          <w:szCs w:val="24"/>
        </w:rPr>
        <w:fldChar w:fldCharType="end"/>
      </w:r>
    </w:p>
    <w:p>
      <w:pPr>
        <w:keepNext w:val="0"/>
        <w:keepLines w:val="0"/>
        <w:pageBreakBefore w:val="0"/>
        <w:widowControl w:val="0"/>
        <w:tabs>
          <w:tab w:val="right" w:leader="dot" w:pos="8297"/>
        </w:tabs>
        <w:kinsoku/>
        <w:wordWrap/>
        <w:overflowPunct/>
        <w:topLinePunct w:val="0"/>
        <w:autoSpaceDE/>
        <w:autoSpaceDN/>
        <w:bidi w:val="0"/>
        <w:adjustRightInd w:val="0"/>
        <w:snapToGrid w:val="0"/>
        <w:spacing w:line="240" w:lineRule="auto"/>
        <w:jc w:val="both"/>
        <w:textAlignment w:val="auto"/>
        <w:rPr>
          <w:rFonts w:ascii="宋体"/>
          <w:sz w:val="24"/>
          <w:szCs w:val="24"/>
        </w:rPr>
        <w:sectPr>
          <w:footerReference r:id="rId11" w:type="default"/>
          <w:type w:val="continuous"/>
          <w:pgSz w:w="11907" w:h="16839"/>
          <w:pgMar w:top="1440" w:right="1800" w:bottom="1440" w:left="1800" w:header="851" w:footer="992" w:gutter="0"/>
          <w:pgNumType w:start="3" w:chapStyle="1"/>
          <w:cols w:space="720" w:num="1"/>
          <w:docGrid w:type="lines" w:linePitch="312" w:charSpace="0"/>
        </w:sectPr>
      </w:pPr>
      <w:r>
        <w:rPr>
          <w:sz w:val="24"/>
          <w:szCs w:val="24"/>
        </w:rPr>
        <w:fldChar w:fldCharType="begin"/>
      </w:r>
      <w:r>
        <w:rPr>
          <w:sz w:val="24"/>
          <w:szCs w:val="24"/>
        </w:rPr>
        <w:instrText xml:space="preserve"> HYPERLINK \l "_Toc437095173" </w:instrText>
      </w:r>
      <w:r>
        <w:rPr>
          <w:sz w:val="24"/>
          <w:szCs w:val="24"/>
        </w:rPr>
        <w:fldChar w:fldCharType="separate"/>
      </w:r>
      <w:r>
        <w:rPr>
          <w:rFonts w:hint="eastAsia" w:ascii="宋体" w:hAnsi="Times New Roman" w:eastAsia="宋体" w:cs="仿宋"/>
          <w:bCs/>
          <w:kern w:val="2"/>
          <w:sz w:val="24"/>
          <w:szCs w:val="24"/>
        </w:rPr>
        <w:t>图1</w:t>
      </w:r>
      <w:r>
        <w:rPr>
          <w:rFonts w:hint="eastAsia" w:ascii="宋体" w:hAnsi="Times New Roman" w:eastAsia="宋体" w:cs="仿宋"/>
          <w:bCs/>
          <w:kern w:val="2"/>
          <w:sz w:val="24"/>
          <w:szCs w:val="24"/>
          <w:lang w:val="en-US" w:eastAsia="zh-CN"/>
        </w:rPr>
        <w:t>6</w:t>
      </w:r>
      <w:r>
        <w:rPr>
          <w:rFonts w:hint="eastAsia" w:ascii="宋体" w:hAnsi="Times New Roman" w:eastAsia="宋体" w:cs="仿宋"/>
          <w:bCs/>
          <w:kern w:val="2"/>
          <w:sz w:val="24"/>
          <w:szCs w:val="24"/>
        </w:rPr>
        <w:t>：学业水平考试情况对比</w:t>
      </w:r>
      <w:r>
        <w:rPr>
          <w:rFonts w:hint="eastAsia" w:ascii="宋体" w:hAnsi="Times New Roman" w:eastAsia="宋体" w:cs="Times New Roman"/>
          <w:kern w:val="2"/>
          <w:sz w:val="24"/>
          <w:szCs w:val="24"/>
        </w:rPr>
        <w:tab/>
      </w:r>
      <w:r>
        <w:rPr>
          <w:rFonts w:hint="eastAsia" w:ascii="宋体" w:hAnsi="Times New Roman" w:eastAsia="宋体" w:cs="Times New Roman"/>
          <w:kern w:val="2"/>
          <w:sz w:val="24"/>
          <w:szCs w:val="24"/>
        </w:rPr>
        <w:t>27</w:t>
      </w:r>
      <w:r>
        <w:rPr>
          <w:rFonts w:hint="eastAsia" w:ascii="宋体" w:hAnsi="Times New Roman" w:eastAsia="宋体" w:cs="Times New Roman"/>
          <w:kern w:val="2"/>
          <w:sz w:val="24"/>
          <w:szCs w:val="24"/>
        </w:rPr>
        <w:fldChar w:fldCharType="end"/>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1.基本情况</w:t>
      </w:r>
      <w:r>
        <w:rPr>
          <w:rFonts w:hint="eastAsia" w:asciiTheme="minorEastAsia" w:hAnsiTheme="minorEastAsia" w:eastAsiaTheme="minorEastAsia"/>
          <w:b/>
          <w:sz w:val="28"/>
          <w:szCs w:val="28"/>
        </w:rPr>
        <w:tab/>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1.1学校概况</w:t>
      </w:r>
    </w:p>
    <w:p>
      <w:pPr>
        <w:pStyle w:val="19"/>
        <w:spacing w:line="360" w:lineRule="auto"/>
        <w:ind w:firstLine="560" w:firstLineChars="200"/>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苏州福纳影视艺术学校创建于2006年9月，位于昆山科技教育园区萧林西路889号，是经苏州市人民政府、教育局批准成立的一所民办全日制普通中等职业学校。学校占地面积209亩，校舍建筑面积31822.1平方米。</w:t>
      </w:r>
    </w:p>
    <w:p>
      <w:pPr>
        <w:pStyle w:val="19"/>
        <w:spacing w:line="360" w:lineRule="auto"/>
        <w:ind w:firstLine="560" w:firstLineChars="200"/>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学校依法制定了《学校章程》，实行理事会领导下的校长负责制。相应的管理制度制定完善。环境优美、设施齐全，建有教学综合楼、专业琴房、学生公寓楼、教师专家公寓楼、多功能餐厅，配有演艺厅、排练厅、舞蹈练功厅、影视拍摄基地、演播室、画室、形体房、计算机房、物流实训室等配套实训教室。为丰富校园文化生活和提升学生发展空间，学校还成立了合唱团、艺术团和艺术沙龙。　　</w:t>
      </w:r>
    </w:p>
    <w:p>
      <w:pPr>
        <w:pStyle w:val="19"/>
        <w:spacing w:line="360" w:lineRule="auto"/>
        <w:ind w:firstLine="560" w:firstLineChars="200"/>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学校目前开设戏剧表演、音乐表演、航空服务、动漫与游戏制作、城市轨道交通运营管理、广播电视节目制作等12个专业。其中戏剧表演专业的影视教育实践基地在2010年被评选为苏州市十大文化产业项目，是江苏省重点文化建设项目；航空服务、城市轨道交通运营管理专业的仿真模拟训练舱实训设备，是目前国内较先进的乘务专业教学实训设备。</w:t>
      </w:r>
    </w:p>
    <w:p>
      <w:pPr>
        <w:pStyle w:val="19"/>
        <w:spacing w:line="360" w:lineRule="auto"/>
        <w:ind w:firstLine="560" w:firstLineChars="200"/>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学校以“阳光、创造、诚信、和谐”为校训；以“团结、务实、创新、包容”为校风，以“厚德、进取、求真、奉献”为教风，以“乐学、善思、好问、求学”为学风。坚持“以学生为主体、以教学为中心、以就业为导向”的办学理念，强调教学与社会实际需求紧密结合的教学原则，致力培养真正会独立就业，能适应多种工作岗位要求的复合型人才。</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1.2学生情况</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2022年，</w:t>
      </w:r>
      <w:r>
        <w:rPr>
          <w:rFonts w:asciiTheme="minorEastAsia" w:hAnsiTheme="minorEastAsia" w:eastAsiaTheme="minorEastAsia"/>
          <w:sz w:val="28"/>
          <w:szCs w:val="28"/>
        </w:rPr>
        <w:t>学校招生人数</w:t>
      </w:r>
      <w:r>
        <w:rPr>
          <w:rFonts w:hint="eastAsia" w:asciiTheme="minorEastAsia" w:hAnsiTheme="minorEastAsia" w:eastAsiaTheme="minorEastAsia"/>
          <w:sz w:val="28"/>
          <w:szCs w:val="28"/>
        </w:rPr>
        <w:t>为</w:t>
      </w:r>
      <w:r>
        <w:rPr>
          <w:rFonts w:asciiTheme="minorEastAsia" w:hAnsiTheme="minorEastAsia" w:eastAsiaTheme="minorEastAsia"/>
          <w:sz w:val="28"/>
          <w:szCs w:val="28"/>
        </w:rPr>
        <w:t>421人，同比减少</w:t>
      </w:r>
      <w:r>
        <w:rPr>
          <w:rFonts w:hint="eastAsia" w:asciiTheme="minorEastAsia" w:hAnsiTheme="minorEastAsia" w:eastAsiaTheme="minorEastAsia"/>
          <w:sz w:val="28"/>
          <w:szCs w:val="28"/>
        </w:rPr>
        <w:t>186</w:t>
      </w:r>
      <w:r>
        <w:rPr>
          <w:rFonts w:asciiTheme="minorEastAsia" w:hAnsiTheme="minorEastAsia" w:eastAsiaTheme="minorEastAsia"/>
          <w:sz w:val="28"/>
          <w:szCs w:val="28"/>
        </w:rPr>
        <w:t>人；在校生人数</w:t>
      </w:r>
      <w:r>
        <w:rPr>
          <w:rFonts w:hint="eastAsia" w:asciiTheme="minorEastAsia" w:hAnsiTheme="minorEastAsia" w:eastAsiaTheme="minorEastAsia"/>
          <w:sz w:val="28"/>
          <w:szCs w:val="28"/>
        </w:rPr>
        <w:t>1740</w:t>
      </w:r>
      <w:r>
        <w:rPr>
          <w:rFonts w:asciiTheme="minorEastAsia" w:hAnsiTheme="minorEastAsia" w:eastAsiaTheme="minorEastAsia"/>
          <w:sz w:val="28"/>
          <w:szCs w:val="28"/>
        </w:rPr>
        <w:t>人，同比减少</w:t>
      </w:r>
      <w:r>
        <w:rPr>
          <w:rFonts w:hint="eastAsia" w:asciiTheme="minorEastAsia" w:hAnsiTheme="minorEastAsia" w:eastAsiaTheme="minorEastAsia"/>
          <w:sz w:val="28"/>
          <w:szCs w:val="28"/>
        </w:rPr>
        <w:t>533</w:t>
      </w:r>
      <w:r>
        <w:rPr>
          <w:rFonts w:asciiTheme="minorEastAsia" w:hAnsiTheme="minorEastAsia" w:eastAsiaTheme="minorEastAsia"/>
          <w:sz w:val="28"/>
          <w:szCs w:val="28"/>
        </w:rPr>
        <w:t>人；2022年毕业生人数</w:t>
      </w:r>
      <w:r>
        <w:rPr>
          <w:rFonts w:hint="eastAsia" w:asciiTheme="minorEastAsia" w:hAnsiTheme="minorEastAsia" w:eastAsiaTheme="minorEastAsia"/>
          <w:sz w:val="28"/>
          <w:szCs w:val="28"/>
        </w:rPr>
        <w:t>729</w:t>
      </w:r>
      <w:r>
        <w:rPr>
          <w:rFonts w:asciiTheme="minorEastAsia" w:hAnsiTheme="minorEastAsia" w:eastAsiaTheme="minorEastAsia"/>
          <w:sz w:val="28"/>
          <w:szCs w:val="28"/>
        </w:rPr>
        <w:t>人，同比减少</w:t>
      </w:r>
      <w:r>
        <w:rPr>
          <w:rFonts w:hint="eastAsia" w:asciiTheme="minorEastAsia" w:hAnsiTheme="minorEastAsia" w:eastAsiaTheme="minorEastAsia"/>
          <w:sz w:val="28"/>
          <w:szCs w:val="28"/>
        </w:rPr>
        <w:t>198</w:t>
      </w:r>
      <w:r>
        <w:rPr>
          <w:rFonts w:asciiTheme="minorEastAsia" w:hAnsiTheme="minorEastAsia" w:eastAsiaTheme="minorEastAsia"/>
          <w:sz w:val="28"/>
          <w:szCs w:val="28"/>
        </w:rPr>
        <w:t>人。</w:t>
      </w:r>
    </w:p>
    <w:tbl>
      <w:tblPr>
        <w:tblStyle w:val="16"/>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50"/>
        <w:gridCol w:w="1701"/>
        <w:gridCol w:w="170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shd w:val="solid" w:color="DDD9C4" w:themeColor="background2" w:themeShade="E6" w:fill="auto"/>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指标</w:t>
            </w:r>
          </w:p>
        </w:tc>
        <w:tc>
          <w:tcPr>
            <w:tcW w:w="850" w:type="dxa"/>
            <w:shd w:val="solid" w:color="DDD9C4" w:themeColor="background2" w:themeShade="E6" w:fill="auto"/>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单位</w:t>
            </w:r>
          </w:p>
        </w:tc>
        <w:tc>
          <w:tcPr>
            <w:tcW w:w="1701" w:type="dxa"/>
            <w:shd w:val="solid" w:color="DDD9C4" w:themeColor="background2" w:themeShade="E6" w:fill="auto"/>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2021年</w:t>
            </w:r>
          </w:p>
        </w:tc>
        <w:tc>
          <w:tcPr>
            <w:tcW w:w="1701" w:type="dxa"/>
            <w:shd w:val="solid" w:color="DDD9C4" w:themeColor="background2" w:themeShade="E6" w:fill="auto"/>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2022年</w:t>
            </w:r>
          </w:p>
        </w:tc>
        <w:tc>
          <w:tcPr>
            <w:tcW w:w="2410" w:type="dxa"/>
            <w:shd w:val="solid" w:color="DDD9C4" w:themeColor="background2" w:themeShade="E6" w:fill="auto"/>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招生数</w:t>
            </w:r>
          </w:p>
        </w:tc>
        <w:tc>
          <w:tcPr>
            <w:tcW w:w="85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w:t>
            </w:r>
          </w:p>
        </w:tc>
        <w:tc>
          <w:tcPr>
            <w:tcW w:w="170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607</w:t>
            </w:r>
          </w:p>
        </w:tc>
        <w:tc>
          <w:tcPr>
            <w:tcW w:w="170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421</w:t>
            </w:r>
          </w:p>
        </w:tc>
        <w:tc>
          <w:tcPr>
            <w:tcW w:w="241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全日制在校生</w:t>
            </w:r>
          </w:p>
        </w:tc>
        <w:tc>
          <w:tcPr>
            <w:tcW w:w="85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w:t>
            </w:r>
          </w:p>
        </w:tc>
        <w:tc>
          <w:tcPr>
            <w:tcW w:w="170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2273</w:t>
            </w:r>
          </w:p>
        </w:tc>
        <w:tc>
          <w:tcPr>
            <w:tcW w:w="170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1740</w:t>
            </w:r>
          </w:p>
        </w:tc>
        <w:tc>
          <w:tcPr>
            <w:tcW w:w="241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毕业生</w:t>
            </w:r>
          </w:p>
        </w:tc>
        <w:tc>
          <w:tcPr>
            <w:tcW w:w="85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w:t>
            </w:r>
          </w:p>
        </w:tc>
        <w:tc>
          <w:tcPr>
            <w:tcW w:w="170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927</w:t>
            </w:r>
          </w:p>
        </w:tc>
        <w:tc>
          <w:tcPr>
            <w:tcW w:w="170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729</w:t>
            </w:r>
          </w:p>
        </w:tc>
        <w:tc>
          <w:tcPr>
            <w:tcW w:w="241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-198</w:t>
            </w:r>
          </w:p>
        </w:tc>
      </w:tr>
    </w:tbl>
    <w:p>
      <w:pPr>
        <w:pStyle w:val="19"/>
        <w:spacing w:line="360" w:lineRule="auto"/>
        <w:ind w:firstLine="420" w:firstLineChars="200"/>
        <w:jc w:val="center"/>
        <w:rPr>
          <w:rFonts w:asciiTheme="minorEastAsia" w:hAnsiTheme="minorEastAsia" w:eastAsiaTheme="minorEastAsia"/>
          <w:b/>
          <w:sz w:val="28"/>
          <w:szCs w:val="28"/>
        </w:rPr>
      </w:pPr>
      <w:r>
        <w:rPr>
          <w:rFonts w:hint="eastAsia" w:asciiTheme="minorEastAsia" w:hAnsiTheme="minorEastAsia" w:eastAsiaTheme="minorEastAsia"/>
          <w:sz w:val="21"/>
          <w:szCs w:val="21"/>
        </w:rPr>
        <w:t>表1：学生情况表</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1.3教师队伍</w:t>
      </w:r>
    </w:p>
    <w:p>
      <w:pPr>
        <w:pStyle w:val="19"/>
        <w:spacing w:line="360" w:lineRule="auto"/>
        <w:ind w:firstLine="560" w:firstLineChars="200"/>
        <w:jc w:val="both"/>
        <w:rPr>
          <w:rFonts w:cs="宋体" w:asciiTheme="minorEastAsia" w:hAnsiTheme="minorEastAsia" w:eastAsiaTheme="minorEastAsia"/>
          <w:color w:val="000000"/>
          <w:kern w:val="2"/>
          <w:sz w:val="28"/>
          <w:szCs w:val="28"/>
        </w:rPr>
      </w:pPr>
      <w:r>
        <w:rPr>
          <w:rFonts w:hint="eastAsia" w:asciiTheme="minorEastAsia" w:hAnsiTheme="minorEastAsia" w:eastAsiaTheme="minorEastAsia"/>
          <w:sz w:val="28"/>
          <w:szCs w:val="28"/>
        </w:rPr>
        <w:tab/>
      </w:r>
      <w:r>
        <w:rPr>
          <w:rFonts w:hint="eastAsia" w:ascii="宋体" w:hAnsi="宋体" w:eastAsia="宋体" w:cs="宋体"/>
          <w:color w:val="000000"/>
          <w:kern w:val="2"/>
          <w:sz w:val="28"/>
          <w:szCs w:val="28"/>
        </w:rPr>
        <w:t>学校教职员工总数</w:t>
      </w:r>
      <w:r>
        <w:rPr>
          <w:rFonts w:hint="eastAsia" w:cs="宋体" w:asciiTheme="minorEastAsia" w:hAnsiTheme="minorEastAsia" w:eastAsiaTheme="minorEastAsia"/>
          <w:color w:val="000000"/>
          <w:kern w:val="2"/>
          <w:sz w:val="28"/>
          <w:szCs w:val="28"/>
        </w:rPr>
        <w:t>87</w:t>
      </w:r>
      <w:r>
        <w:rPr>
          <w:rFonts w:hint="eastAsia" w:ascii="宋体" w:hAnsi="宋体" w:eastAsia="宋体" w:cs="宋体"/>
          <w:color w:val="000000"/>
          <w:kern w:val="2"/>
          <w:sz w:val="28"/>
          <w:szCs w:val="28"/>
        </w:rPr>
        <w:t>人，专任教师</w:t>
      </w:r>
      <w:r>
        <w:rPr>
          <w:rFonts w:hint="eastAsia" w:cs="宋体" w:asciiTheme="minorEastAsia" w:hAnsiTheme="minorEastAsia" w:eastAsiaTheme="minorEastAsia"/>
          <w:color w:val="000000"/>
          <w:kern w:val="2"/>
          <w:sz w:val="28"/>
          <w:szCs w:val="28"/>
        </w:rPr>
        <w:t>54</w:t>
      </w:r>
      <w:r>
        <w:rPr>
          <w:rFonts w:hint="eastAsia" w:ascii="宋体" w:hAnsi="宋体" w:eastAsia="宋体" w:cs="宋体"/>
          <w:color w:val="000000"/>
          <w:kern w:val="2"/>
          <w:sz w:val="28"/>
          <w:szCs w:val="28"/>
        </w:rPr>
        <w:t>人，</w:t>
      </w:r>
      <w:r>
        <w:rPr>
          <w:rFonts w:hint="eastAsia" w:cs="宋体" w:asciiTheme="minorEastAsia" w:hAnsiTheme="minorEastAsia" w:eastAsiaTheme="minorEastAsia"/>
          <w:color w:val="000000"/>
          <w:kern w:val="2"/>
          <w:sz w:val="28"/>
          <w:szCs w:val="28"/>
        </w:rPr>
        <w:t>专业教师28人，生师比32.22:1；</w:t>
      </w:r>
      <w:r>
        <w:rPr>
          <w:rFonts w:hint="eastAsia" w:ascii="宋体" w:hAnsi="宋体" w:eastAsia="宋体" w:cs="宋体"/>
          <w:color w:val="000000"/>
          <w:kern w:val="2"/>
          <w:sz w:val="28"/>
          <w:szCs w:val="28"/>
        </w:rPr>
        <w:t>“双师</w:t>
      </w:r>
      <w:r>
        <w:rPr>
          <w:rFonts w:hint="eastAsia" w:cs="宋体" w:asciiTheme="minorEastAsia" w:hAnsiTheme="minorEastAsia" w:eastAsiaTheme="minorEastAsia"/>
          <w:color w:val="000000"/>
          <w:kern w:val="2"/>
          <w:sz w:val="28"/>
          <w:szCs w:val="28"/>
        </w:rPr>
        <w:t>型”</w:t>
      </w:r>
      <w:r>
        <w:rPr>
          <w:rFonts w:hint="eastAsia" w:ascii="宋体" w:hAnsi="宋体" w:eastAsia="宋体" w:cs="宋体"/>
          <w:color w:val="000000"/>
          <w:kern w:val="2"/>
          <w:sz w:val="28"/>
          <w:szCs w:val="28"/>
        </w:rPr>
        <w:t>教师</w:t>
      </w:r>
      <w:r>
        <w:rPr>
          <w:rFonts w:hint="eastAsia" w:cs="宋体" w:asciiTheme="minorEastAsia" w:hAnsiTheme="minorEastAsia" w:eastAsiaTheme="minorEastAsia"/>
          <w:color w:val="000000"/>
          <w:kern w:val="2"/>
          <w:sz w:val="28"/>
          <w:szCs w:val="28"/>
        </w:rPr>
        <w:t>2</w:t>
      </w:r>
      <w:r>
        <w:rPr>
          <w:rFonts w:hint="eastAsia" w:ascii="宋体" w:hAnsi="宋体" w:eastAsia="宋体" w:cs="宋体"/>
          <w:color w:val="000000"/>
          <w:kern w:val="2"/>
          <w:sz w:val="28"/>
          <w:szCs w:val="28"/>
        </w:rPr>
        <w:t>人，占专任教师的</w:t>
      </w:r>
      <w:r>
        <w:rPr>
          <w:rFonts w:hint="eastAsia" w:cs="宋体" w:asciiTheme="minorEastAsia" w:hAnsiTheme="minorEastAsia" w:eastAsiaTheme="minorEastAsia"/>
          <w:color w:val="000000"/>
          <w:kern w:val="2"/>
          <w:sz w:val="28"/>
          <w:szCs w:val="28"/>
        </w:rPr>
        <w:t>3.70%</w:t>
      </w:r>
      <w:r>
        <w:rPr>
          <w:rFonts w:hint="eastAsia" w:ascii="宋体" w:hAnsi="宋体" w:eastAsia="宋体" w:cs="宋体"/>
          <w:color w:val="000000"/>
          <w:kern w:val="2"/>
          <w:sz w:val="28"/>
          <w:szCs w:val="28"/>
        </w:rPr>
        <w:t>；兼职教师</w:t>
      </w:r>
      <w:r>
        <w:rPr>
          <w:rFonts w:hint="eastAsia" w:cs="宋体" w:asciiTheme="minorEastAsia" w:hAnsiTheme="minorEastAsia" w:eastAsiaTheme="minorEastAsia"/>
          <w:color w:val="000000"/>
          <w:kern w:val="2"/>
          <w:sz w:val="28"/>
          <w:szCs w:val="28"/>
        </w:rPr>
        <w:t>14</w:t>
      </w:r>
      <w:r>
        <w:rPr>
          <w:rFonts w:hint="eastAsia" w:ascii="宋体" w:hAnsi="宋体" w:eastAsia="宋体" w:cs="宋体"/>
          <w:color w:val="000000"/>
          <w:kern w:val="2"/>
          <w:sz w:val="28"/>
          <w:szCs w:val="28"/>
        </w:rPr>
        <w:t>人，占专任教师的</w:t>
      </w:r>
      <w:r>
        <w:rPr>
          <w:rFonts w:hint="eastAsia" w:cs="宋体" w:asciiTheme="minorEastAsia" w:hAnsiTheme="minorEastAsia" w:eastAsiaTheme="minorEastAsia"/>
          <w:color w:val="000000"/>
          <w:kern w:val="2"/>
          <w:sz w:val="28"/>
          <w:szCs w:val="28"/>
        </w:rPr>
        <w:t>20.59%</w:t>
      </w:r>
      <w:r>
        <w:rPr>
          <w:rFonts w:hint="eastAsia" w:ascii="宋体" w:hAnsi="宋体" w:eastAsia="宋体" w:cs="宋体"/>
          <w:color w:val="000000"/>
          <w:kern w:val="2"/>
          <w:sz w:val="28"/>
          <w:szCs w:val="28"/>
        </w:rPr>
        <w:t>；专任教师中，</w:t>
      </w:r>
      <w:r>
        <w:rPr>
          <w:rFonts w:hint="eastAsia" w:cs="宋体" w:asciiTheme="minorEastAsia" w:hAnsiTheme="minorEastAsia" w:eastAsiaTheme="minorEastAsia"/>
          <w:color w:val="000000"/>
          <w:kern w:val="2"/>
          <w:sz w:val="28"/>
          <w:szCs w:val="28"/>
        </w:rPr>
        <w:t>本科学历43人，硕士研究生</w:t>
      </w:r>
      <w:r>
        <w:rPr>
          <w:rFonts w:hint="eastAsia" w:ascii="宋体" w:hAnsi="宋体" w:eastAsia="宋体" w:cs="宋体"/>
          <w:color w:val="000000"/>
          <w:kern w:val="2"/>
          <w:sz w:val="28"/>
          <w:szCs w:val="28"/>
        </w:rPr>
        <w:t>学历</w:t>
      </w:r>
      <w:r>
        <w:rPr>
          <w:rFonts w:hint="eastAsia" w:cs="宋体" w:asciiTheme="minorEastAsia" w:hAnsiTheme="minorEastAsia" w:eastAsiaTheme="minorEastAsia"/>
          <w:color w:val="000000"/>
          <w:kern w:val="2"/>
          <w:sz w:val="28"/>
          <w:szCs w:val="28"/>
        </w:rPr>
        <w:t>6</w:t>
      </w:r>
      <w:r>
        <w:rPr>
          <w:rFonts w:hint="eastAsia" w:ascii="宋体" w:hAnsi="宋体" w:eastAsia="宋体" w:cs="宋体"/>
          <w:color w:val="000000"/>
          <w:kern w:val="2"/>
          <w:sz w:val="28"/>
          <w:szCs w:val="28"/>
        </w:rPr>
        <w:t>人，占专任教师的</w:t>
      </w:r>
      <w:r>
        <w:rPr>
          <w:rFonts w:hint="eastAsia" w:cs="宋体" w:asciiTheme="minorEastAsia" w:hAnsiTheme="minorEastAsia" w:eastAsiaTheme="minorEastAsia"/>
          <w:color w:val="000000"/>
          <w:kern w:val="2"/>
          <w:sz w:val="28"/>
          <w:szCs w:val="28"/>
        </w:rPr>
        <w:t>90.74</w:t>
      </w:r>
      <w:r>
        <w:rPr>
          <w:rFonts w:hint="eastAsia" w:ascii="宋体" w:hAnsi="宋体" w:eastAsia="宋体" w:cs="宋体"/>
          <w:color w:val="000000"/>
          <w:kern w:val="2"/>
          <w:sz w:val="28"/>
          <w:szCs w:val="28"/>
        </w:rPr>
        <w:t>%</w:t>
      </w:r>
      <w:r>
        <w:rPr>
          <w:rFonts w:hint="eastAsia" w:cs="宋体" w:asciiTheme="minorEastAsia" w:hAnsiTheme="minorEastAsia" w:eastAsiaTheme="minorEastAsia"/>
          <w:color w:val="000000"/>
          <w:kern w:val="2"/>
          <w:sz w:val="28"/>
          <w:szCs w:val="28"/>
        </w:rPr>
        <w:t>。</w:t>
      </w:r>
    </w:p>
    <w:tbl>
      <w:tblPr>
        <w:tblStyle w:val="15"/>
        <w:tblW w:w="8225" w:type="dxa"/>
        <w:tblInd w:w="91" w:type="dxa"/>
        <w:tblLayout w:type="autofit"/>
        <w:tblCellMar>
          <w:top w:w="0" w:type="dxa"/>
          <w:left w:w="108" w:type="dxa"/>
          <w:bottom w:w="0" w:type="dxa"/>
          <w:right w:w="108" w:type="dxa"/>
        </w:tblCellMar>
      </w:tblPr>
      <w:tblGrid>
        <w:gridCol w:w="1080"/>
        <w:gridCol w:w="2765"/>
        <w:gridCol w:w="992"/>
        <w:gridCol w:w="1276"/>
        <w:gridCol w:w="1056"/>
        <w:gridCol w:w="1056"/>
      </w:tblGrid>
      <w:tr>
        <w:tblPrEx>
          <w:tblCellMar>
            <w:top w:w="0" w:type="dxa"/>
            <w:left w:w="108" w:type="dxa"/>
            <w:bottom w:w="0" w:type="dxa"/>
            <w:right w:w="108" w:type="dxa"/>
          </w:tblCellMar>
        </w:tblPrEx>
        <w:trPr>
          <w:trHeight w:val="499" w:hRule="atLeast"/>
        </w:trPr>
        <w:tc>
          <w:tcPr>
            <w:tcW w:w="1080" w:type="dxa"/>
            <w:tcBorders>
              <w:top w:val="single" w:color="auto" w:sz="8" w:space="0"/>
              <w:left w:val="single" w:color="auto" w:sz="8" w:space="0"/>
              <w:bottom w:val="single" w:color="auto" w:sz="8" w:space="0"/>
              <w:right w:val="single" w:color="auto" w:sz="8" w:space="0"/>
            </w:tcBorders>
            <w:shd w:val="solid" w:color="DDD9C4" w:themeColor="background2" w:themeShade="E6"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序号</w:t>
            </w:r>
          </w:p>
        </w:tc>
        <w:tc>
          <w:tcPr>
            <w:tcW w:w="2765" w:type="dxa"/>
            <w:tcBorders>
              <w:top w:val="single" w:color="auto" w:sz="8" w:space="0"/>
              <w:left w:val="nil"/>
              <w:bottom w:val="single" w:color="auto" w:sz="8" w:space="0"/>
              <w:right w:val="single" w:color="auto" w:sz="8" w:space="0"/>
            </w:tcBorders>
            <w:shd w:val="solid" w:color="DDD9C4" w:themeColor="background2" w:themeShade="E6"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指标</w:t>
            </w:r>
          </w:p>
        </w:tc>
        <w:tc>
          <w:tcPr>
            <w:tcW w:w="992" w:type="dxa"/>
            <w:tcBorders>
              <w:top w:val="single" w:color="auto" w:sz="8" w:space="0"/>
              <w:left w:val="nil"/>
              <w:bottom w:val="single" w:color="auto" w:sz="8" w:space="0"/>
              <w:right w:val="single" w:color="auto" w:sz="8" w:space="0"/>
            </w:tcBorders>
            <w:shd w:val="solid" w:color="DDD9C4" w:themeColor="background2" w:themeShade="E6"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单位</w:t>
            </w:r>
          </w:p>
        </w:tc>
        <w:tc>
          <w:tcPr>
            <w:tcW w:w="1276" w:type="dxa"/>
            <w:tcBorders>
              <w:top w:val="single" w:color="auto" w:sz="8" w:space="0"/>
              <w:left w:val="nil"/>
              <w:bottom w:val="single" w:color="auto" w:sz="8" w:space="0"/>
              <w:right w:val="single" w:color="auto" w:sz="8" w:space="0"/>
            </w:tcBorders>
            <w:shd w:val="solid" w:color="DDD9C4" w:themeColor="background2" w:themeShade="E6"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2021年</w:t>
            </w:r>
          </w:p>
        </w:tc>
        <w:tc>
          <w:tcPr>
            <w:tcW w:w="1056" w:type="dxa"/>
            <w:tcBorders>
              <w:top w:val="single" w:color="auto" w:sz="8" w:space="0"/>
              <w:left w:val="nil"/>
              <w:bottom w:val="single" w:color="auto" w:sz="8" w:space="0"/>
              <w:right w:val="single" w:color="auto" w:sz="8" w:space="0"/>
            </w:tcBorders>
            <w:shd w:val="solid" w:color="DDD9C4" w:themeColor="background2" w:themeShade="E6"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2022年</w:t>
            </w:r>
          </w:p>
        </w:tc>
        <w:tc>
          <w:tcPr>
            <w:tcW w:w="1056" w:type="dxa"/>
            <w:tcBorders>
              <w:top w:val="single" w:color="auto" w:sz="8" w:space="0"/>
              <w:left w:val="nil"/>
              <w:bottom w:val="single" w:color="auto" w:sz="8" w:space="0"/>
              <w:right w:val="single" w:color="auto" w:sz="8" w:space="0"/>
            </w:tcBorders>
            <w:shd w:val="solid" w:color="DDD9C4" w:themeColor="background2" w:themeShade="E6"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增量</w:t>
            </w:r>
          </w:p>
        </w:tc>
      </w:tr>
      <w:tr>
        <w:tblPrEx>
          <w:tblCellMar>
            <w:top w:w="0" w:type="dxa"/>
            <w:left w:w="108" w:type="dxa"/>
            <w:bottom w:w="0" w:type="dxa"/>
            <w:right w:w="108" w:type="dxa"/>
          </w:tblCellMar>
        </w:tblPrEx>
        <w:trPr>
          <w:trHeight w:val="499" w:hRule="atLeast"/>
        </w:trPr>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w:t>
            </w:r>
          </w:p>
        </w:tc>
        <w:tc>
          <w:tcPr>
            <w:tcW w:w="2765" w:type="dxa"/>
            <w:tcBorders>
              <w:top w:val="single" w:color="auto" w:sz="8" w:space="0"/>
              <w:left w:val="nil"/>
              <w:bottom w:val="single" w:color="auto" w:sz="8" w:space="0"/>
              <w:right w:val="single" w:color="auto" w:sz="8" w:space="0"/>
            </w:tcBorders>
            <w:shd w:val="clear" w:color="auto" w:fill="auto"/>
            <w:vAlign w:val="center"/>
          </w:tcPr>
          <w:p>
            <w:pPr>
              <w:adjustRightInd/>
              <w:snapToGrid/>
              <w:spacing w:after="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教职员工总数</w:t>
            </w:r>
          </w:p>
        </w:tc>
        <w:tc>
          <w:tcPr>
            <w:tcW w:w="992" w:type="dxa"/>
            <w:tcBorders>
              <w:top w:val="single" w:color="auto" w:sz="8" w:space="0"/>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人</w:t>
            </w:r>
          </w:p>
        </w:tc>
        <w:tc>
          <w:tcPr>
            <w:tcW w:w="1276" w:type="dxa"/>
            <w:tcBorders>
              <w:top w:val="single" w:color="auto" w:sz="8" w:space="0"/>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97</w:t>
            </w:r>
          </w:p>
        </w:tc>
        <w:tc>
          <w:tcPr>
            <w:tcW w:w="1056" w:type="dxa"/>
            <w:tcBorders>
              <w:top w:val="single" w:color="auto" w:sz="8" w:space="0"/>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87</w:t>
            </w:r>
          </w:p>
        </w:tc>
        <w:tc>
          <w:tcPr>
            <w:tcW w:w="1056" w:type="dxa"/>
            <w:tcBorders>
              <w:top w:val="single" w:color="auto" w:sz="8" w:space="0"/>
              <w:left w:val="nil"/>
              <w:bottom w:val="single" w:color="auto" w:sz="8" w:space="0"/>
              <w:right w:val="single" w:color="auto" w:sz="8" w:space="0"/>
            </w:tcBorders>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-10</w:t>
            </w:r>
          </w:p>
        </w:tc>
      </w:tr>
      <w:tr>
        <w:tblPrEx>
          <w:tblCellMar>
            <w:top w:w="0" w:type="dxa"/>
            <w:left w:w="108" w:type="dxa"/>
            <w:bottom w:w="0" w:type="dxa"/>
            <w:right w:w="108" w:type="dxa"/>
          </w:tblCellMar>
        </w:tblPrEx>
        <w:trPr>
          <w:trHeight w:val="499" w:hRule="atLeast"/>
        </w:trPr>
        <w:tc>
          <w:tcPr>
            <w:tcW w:w="1080" w:type="dxa"/>
            <w:vMerge w:val="restart"/>
            <w:tcBorders>
              <w:top w:val="nil"/>
              <w:left w:val="single" w:color="auto" w:sz="8" w:space="0"/>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w:t>
            </w:r>
          </w:p>
        </w:tc>
        <w:tc>
          <w:tcPr>
            <w:tcW w:w="276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专任教师数</w:t>
            </w:r>
          </w:p>
        </w:tc>
        <w:tc>
          <w:tcPr>
            <w:tcW w:w="992"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人</w:t>
            </w:r>
          </w:p>
        </w:tc>
        <w:tc>
          <w:tcPr>
            <w:tcW w:w="127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64</w:t>
            </w:r>
          </w:p>
        </w:tc>
        <w:tc>
          <w:tcPr>
            <w:tcW w:w="105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54</w:t>
            </w:r>
          </w:p>
        </w:tc>
        <w:tc>
          <w:tcPr>
            <w:tcW w:w="1056" w:type="dxa"/>
            <w:tcBorders>
              <w:top w:val="nil"/>
              <w:left w:val="nil"/>
              <w:bottom w:val="single" w:color="auto" w:sz="8" w:space="0"/>
              <w:right w:val="single" w:color="auto" w:sz="8" w:space="0"/>
            </w:tcBorders>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-10</w:t>
            </w:r>
          </w:p>
        </w:tc>
      </w:tr>
      <w:tr>
        <w:tblPrEx>
          <w:tblCellMar>
            <w:top w:w="0" w:type="dxa"/>
            <w:left w:w="108" w:type="dxa"/>
            <w:bottom w:w="0" w:type="dxa"/>
            <w:right w:w="108" w:type="dxa"/>
          </w:tblCellMar>
        </w:tblPrEx>
        <w:trPr>
          <w:trHeight w:val="499" w:hRule="atLeast"/>
        </w:trPr>
        <w:tc>
          <w:tcPr>
            <w:tcW w:w="1080" w:type="dxa"/>
            <w:vMerge w:val="continue"/>
            <w:tcBorders>
              <w:top w:val="nil"/>
              <w:left w:val="single" w:color="auto" w:sz="8" w:space="0"/>
              <w:bottom w:val="single" w:color="auto" w:sz="8" w:space="0"/>
              <w:right w:val="single" w:color="auto" w:sz="8" w:space="0"/>
            </w:tcBorders>
            <w:vAlign w:val="center"/>
          </w:tcPr>
          <w:p>
            <w:pPr>
              <w:adjustRightInd/>
              <w:snapToGrid/>
              <w:spacing w:after="0"/>
              <w:rPr>
                <w:rFonts w:cs="宋体" w:asciiTheme="minorEastAsia" w:hAnsiTheme="minorEastAsia" w:eastAsiaTheme="minorEastAsia"/>
                <w:color w:val="000000"/>
                <w:sz w:val="21"/>
                <w:szCs w:val="21"/>
              </w:rPr>
            </w:pPr>
          </w:p>
        </w:tc>
        <w:tc>
          <w:tcPr>
            <w:tcW w:w="276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其中：专业教师数</w:t>
            </w:r>
          </w:p>
        </w:tc>
        <w:tc>
          <w:tcPr>
            <w:tcW w:w="992"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人</w:t>
            </w:r>
          </w:p>
        </w:tc>
        <w:tc>
          <w:tcPr>
            <w:tcW w:w="127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33</w:t>
            </w:r>
          </w:p>
        </w:tc>
        <w:tc>
          <w:tcPr>
            <w:tcW w:w="105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28</w:t>
            </w:r>
          </w:p>
        </w:tc>
        <w:tc>
          <w:tcPr>
            <w:tcW w:w="1056" w:type="dxa"/>
            <w:tcBorders>
              <w:top w:val="nil"/>
              <w:left w:val="nil"/>
              <w:bottom w:val="single" w:color="auto" w:sz="8" w:space="0"/>
              <w:right w:val="single" w:color="auto" w:sz="8" w:space="0"/>
            </w:tcBorders>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w:t>
            </w:r>
          </w:p>
        </w:tc>
      </w:tr>
      <w:tr>
        <w:tblPrEx>
          <w:tblCellMar>
            <w:top w:w="0" w:type="dxa"/>
            <w:left w:w="108" w:type="dxa"/>
            <w:bottom w:w="0" w:type="dxa"/>
            <w:right w:w="108" w:type="dxa"/>
          </w:tblCellMar>
        </w:tblPrEx>
        <w:trPr>
          <w:trHeight w:val="556"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w:t>
            </w:r>
          </w:p>
        </w:tc>
        <w:tc>
          <w:tcPr>
            <w:tcW w:w="276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生师比</w:t>
            </w:r>
          </w:p>
        </w:tc>
        <w:tc>
          <w:tcPr>
            <w:tcW w:w="992"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w:t>
            </w:r>
          </w:p>
        </w:tc>
        <w:tc>
          <w:tcPr>
            <w:tcW w:w="127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35.52:1</w:t>
            </w:r>
          </w:p>
        </w:tc>
        <w:tc>
          <w:tcPr>
            <w:tcW w:w="105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32.22:1</w:t>
            </w:r>
          </w:p>
        </w:tc>
        <w:tc>
          <w:tcPr>
            <w:tcW w:w="1056" w:type="dxa"/>
            <w:tcBorders>
              <w:top w:val="nil"/>
              <w:left w:val="nil"/>
              <w:bottom w:val="single" w:color="auto" w:sz="8" w:space="0"/>
              <w:right w:val="single" w:color="auto" w:sz="8" w:space="0"/>
            </w:tcBorders>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-3.3</w:t>
            </w:r>
          </w:p>
        </w:tc>
      </w:tr>
      <w:tr>
        <w:tblPrEx>
          <w:tblCellMar>
            <w:top w:w="0" w:type="dxa"/>
            <w:left w:w="108" w:type="dxa"/>
            <w:bottom w:w="0" w:type="dxa"/>
            <w:right w:w="108" w:type="dxa"/>
          </w:tblCellMar>
        </w:tblPrEx>
        <w:trPr>
          <w:trHeight w:val="499"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w:t>
            </w:r>
          </w:p>
        </w:tc>
        <w:tc>
          <w:tcPr>
            <w:tcW w:w="276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双师型教师总数</w:t>
            </w:r>
          </w:p>
        </w:tc>
        <w:tc>
          <w:tcPr>
            <w:tcW w:w="992"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人</w:t>
            </w:r>
          </w:p>
        </w:tc>
        <w:tc>
          <w:tcPr>
            <w:tcW w:w="127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w:t>
            </w:r>
          </w:p>
        </w:tc>
        <w:tc>
          <w:tcPr>
            <w:tcW w:w="105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w:t>
            </w:r>
          </w:p>
        </w:tc>
        <w:tc>
          <w:tcPr>
            <w:tcW w:w="1056" w:type="dxa"/>
            <w:tcBorders>
              <w:top w:val="nil"/>
              <w:left w:val="nil"/>
              <w:bottom w:val="single" w:color="auto" w:sz="8" w:space="0"/>
              <w:right w:val="single" w:color="auto" w:sz="8" w:space="0"/>
            </w:tcBorders>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w:t>
            </w:r>
          </w:p>
        </w:tc>
      </w:tr>
      <w:tr>
        <w:tblPrEx>
          <w:tblCellMar>
            <w:top w:w="0" w:type="dxa"/>
            <w:left w:w="108" w:type="dxa"/>
            <w:bottom w:w="0" w:type="dxa"/>
            <w:right w:w="108" w:type="dxa"/>
          </w:tblCellMar>
        </w:tblPrEx>
        <w:trPr>
          <w:trHeight w:val="499"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w:t>
            </w:r>
          </w:p>
        </w:tc>
        <w:tc>
          <w:tcPr>
            <w:tcW w:w="276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硕士研究生及以上学历专任教师占比</w:t>
            </w:r>
          </w:p>
        </w:tc>
        <w:tc>
          <w:tcPr>
            <w:tcW w:w="992"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w:t>
            </w:r>
          </w:p>
        </w:tc>
        <w:tc>
          <w:tcPr>
            <w:tcW w:w="127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9.38</w:t>
            </w:r>
          </w:p>
        </w:tc>
        <w:tc>
          <w:tcPr>
            <w:tcW w:w="105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11.11</w:t>
            </w:r>
          </w:p>
        </w:tc>
        <w:tc>
          <w:tcPr>
            <w:tcW w:w="1056" w:type="dxa"/>
            <w:tcBorders>
              <w:top w:val="nil"/>
              <w:left w:val="nil"/>
              <w:bottom w:val="single" w:color="auto" w:sz="8" w:space="0"/>
              <w:right w:val="single" w:color="auto" w:sz="8" w:space="0"/>
            </w:tcBorders>
            <w:vAlign w:val="center"/>
          </w:tcPr>
          <w:p>
            <w:pPr>
              <w:adjustRightInd/>
              <w:snapToGrid/>
              <w:spacing w:after="0"/>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+1.73</w:t>
            </w:r>
          </w:p>
        </w:tc>
      </w:tr>
    </w:tbl>
    <w:p>
      <w:pPr>
        <w:widowControl w:val="0"/>
        <w:adjustRightInd/>
        <w:snapToGrid/>
        <w:spacing w:after="0" w:line="360" w:lineRule="auto"/>
        <w:jc w:val="center"/>
        <w:rPr>
          <w:rFonts w:asciiTheme="minorEastAsia" w:hAnsiTheme="minorEastAsia" w:eastAsiaTheme="minorEastAsia"/>
          <w:b/>
          <w:sz w:val="28"/>
          <w:szCs w:val="28"/>
        </w:rPr>
      </w:pPr>
      <w:r>
        <w:rPr>
          <w:rFonts w:hint="eastAsia" w:ascii="宋体" w:hAnsi="宋体" w:eastAsia="宋体" w:cs="宋体"/>
          <w:color w:val="000000"/>
          <w:kern w:val="2"/>
          <w:sz w:val="21"/>
          <w:szCs w:val="21"/>
        </w:rPr>
        <w:t>表2：师资队伍数据对比</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1.4设施设备</w:t>
      </w:r>
    </w:p>
    <w:p>
      <w:pPr>
        <w:spacing w:line="560" w:lineRule="exact"/>
        <w:ind w:firstLine="548" w:firstLineChars="196"/>
        <w:jc w:val="both"/>
        <w:rPr>
          <w:rFonts w:ascii="宋体" w:hAnsi="宋体" w:eastAsia="宋体" w:cs="宋体"/>
          <w:color w:val="000000"/>
          <w:sz w:val="28"/>
          <w:szCs w:val="28"/>
        </w:rPr>
      </w:pPr>
      <w:r>
        <w:rPr>
          <w:rFonts w:cs="宋体" w:asciiTheme="minorEastAsia" w:hAnsiTheme="minorEastAsia" w:eastAsiaTheme="minorEastAsia"/>
          <w:color w:val="000000"/>
          <w:sz w:val="28"/>
          <w:szCs w:val="28"/>
        </w:rPr>
        <w:t>学校生均校园占地面积为</w:t>
      </w:r>
      <w:r>
        <w:rPr>
          <w:rFonts w:hint="eastAsia" w:cs="宋体" w:asciiTheme="minorEastAsia" w:hAnsiTheme="minorEastAsia" w:eastAsiaTheme="minorEastAsia"/>
          <w:color w:val="000000"/>
          <w:sz w:val="28"/>
          <w:szCs w:val="28"/>
        </w:rPr>
        <w:t>80.15</w:t>
      </w:r>
      <w:r>
        <w:rPr>
          <w:rFonts w:cs="宋体" w:asciiTheme="minorEastAsia" w:hAnsiTheme="minorEastAsia" w:eastAsiaTheme="minorEastAsia"/>
          <w:color w:val="000000"/>
          <w:sz w:val="28"/>
          <w:szCs w:val="28"/>
        </w:rPr>
        <w:t>平方米，生均校舍建筑面积为</w:t>
      </w:r>
      <w:r>
        <w:rPr>
          <w:rFonts w:hint="eastAsia" w:cs="宋体" w:asciiTheme="minorEastAsia" w:hAnsiTheme="minorEastAsia" w:eastAsiaTheme="minorEastAsia"/>
          <w:color w:val="000000"/>
          <w:sz w:val="28"/>
          <w:szCs w:val="28"/>
        </w:rPr>
        <w:t>18.2</w:t>
      </w:r>
      <w:r>
        <w:rPr>
          <w:rFonts w:cs="宋体" w:asciiTheme="minorEastAsia" w:hAnsiTheme="minorEastAsia" w:eastAsiaTheme="minorEastAsia"/>
          <w:color w:val="000000"/>
          <w:sz w:val="28"/>
          <w:szCs w:val="28"/>
        </w:rPr>
        <w:t>平方米。建有集学习与实训一体校内实训基地</w:t>
      </w:r>
      <w:r>
        <w:rPr>
          <w:rFonts w:hint="eastAsia" w:cs="宋体" w:asciiTheme="minorEastAsia" w:hAnsiTheme="minorEastAsia" w:eastAsiaTheme="minorEastAsia"/>
          <w:color w:val="000000"/>
          <w:sz w:val="28"/>
          <w:szCs w:val="28"/>
        </w:rPr>
        <w:t>22</w:t>
      </w:r>
      <w:r>
        <w:rPr>
          <w:rFonts w:cs="宋体" w:asciiTheme="minorEastAsia" w:hAnsiTheme="minorEastAsia" w:eastAsiaTheme="minorEastAsia"/>
          <w:color w:val="000000"/>
          <w:sz w:val="28"/>
          <w:szCs w:val="28"/>
        </w:rPr>
        <w:t>个，包括形体房6间</w:t>
      </w:r>
      <w:r>
        <w:rPr>
          <w:rFonts w:hint="eastAsia" w:cs="宋体" w:asciiTheme="minorEastAsia" w:hAnsiTheme="minorEastAsia" w:eastAsiaTheme="minorEastAsia"/>
          <w:color w:val="000000"/>
          <w:sz w:val="28"/>
          <w:szCs w:val="28"/>
        </w:rPr>
        <w:t>、画室5间、</w:t>
      </w:r>
      <w:r>
        <w:rPr>
          <w:rFonts w:cs="宋体" w:asciiTheme="minorEastAsia" w:hAnsiTheme="minorEastAsia" w:eastAsiaTheme="minorEastAsia"/>
          <w:color w:val="000000"/>
          <w:sz w:val="28"/>
          <w:szCs w:val="28"/>
        </w:rPr>
        <w:t>航空服务模拟仓1个</w:t>
      </w:r>
      <w:r>
        <w:rPr>
          <w:rFonts w:hint="eastAsia" w:cs="宋体" w:asciiTheme="minorEastAsia" w:hAnsiTheme="minorEastAsia" w:eastAsiaTheme="minorEastAsia"/>
          <w:color w:val="000000"/>
          <w:sz w:val="28"/>
          <w:szCs w:val="28"/>
        </w:rPr>
        <w:t>、</w:t>
      </w:r>
      <w:r>
        <w:rPr>
          <w:rFonts w:cs="宋体" w:asciiTheme="minorEastAsia" w:hAnsiTheme="minorEastAsia" w:eastAsiaTheme="minorEastAsia"/>
          <w:color w:val="000000"/>
          <w:sz w:val="28"/>
          <w:szCs w:val="28"/>
        </w:rPr>
        <w:t>演播室1间</w:t>
      </w:r>
      <w:r>
        <w:rPr>
          <w:rFonts w:hint="eastAsia" w:cs="宋体" w:asciiTheme="minorEastAsia" w:hAnsiTheme="minorEastAsia" w:eastAsiaTheme="minorEastAsia"/>
          <w:color w:val="000000"/>
          <w:sz w:val="28"/>
          <w:szCs w:val="28"/>
        </w:rPr>
        <w:t>、</w:t>
      </w:r>
      <w:r>
        <w:rPr>
          <w:rFonts w:cs="宋体" w:asciiTheme="minorEastAsia" w:hAnsiTheme="minorEastAsia" w:eastAsiaTheme="minorEastAsia"/>
          <w:color w:val="000000"/>
          <w:sz w:val="28"/>
          <w:szCs w:val="28"/>
        </w:rPr>
        <w:t>计算机房5间</w:t>
      </w:r>
      <w:r>
        <w:rPr>
          <w:rFonts w:hint="eastAsia" w:cs="宋体" w:asciiTheme="minorEastAsia" w:hAnsiTheme="minorEastAsia" w:eastAsiaTheme="minorEastAsia"/>
          <w:color w:val="000000"/>
          <w:sz w:val="28"/>
          <w:szCs w:val="28"/>
        </w:rPr>
        <w:t>、</w:t>
      </w:r>
      <w:r>
        <w:rPr>
          <w:rFonts w:cs="宋体" w:asciiTheme="minorEastAsia" w:hAnsiTheme="minorEastAsia" w:eastAsiaTheme="minorEastAsia"/>
          <w:color w:val="000000"/>
          <w:sz w:val="28"/>
          <w:szCs w:val="28"/>
        </w:rPr>
        <w:t>音乐教室3间</w:t>
      </w:r>
      <w:r>
        <w:rPr>
          <w:rFonts w:hint="eastAsia" w:cs="宋体" w:asciiTheme="minorEastAsia" w:hAnsiTheme="minorEastAsia" w:eastAsiaTheme="minorEastAsia"/>
          <w:color w:val="000000"/>
          <w:sz w:val="28"/>
          <w:szCs w:val="28"/>
        </w:rPr>
        <w:t>、表演教室1间</w:t>
      </w:r>
      <w:r>
        <w:rPr>
          <w:rFonts w:cs="宋体" w:asciiTheme="minorEastAsia" w:hAnsiTheme="minorEastAsia" w:eastAsiaTheme="minorEastAsia"/>
          <w:color w:val="000000"/>
          <w:sz w:val="28"/>
          <w:szCs w:val="28"/>
        </w:rPr>
        <w:t>等。生均教学仪器设备值</w:t>
      </w:r>
      <w:r>
        <w:rPr>
          <w:rFonts w:hint="eastAsia" w:cs="宋体" w:asciiTheme="minorEastAsia" w:hAnsiTheme="minorEastAsia" w:eastAsiaTheme="minorEastAsia"/>
          <w:color w:val="000000"/>
          <w:sz w:val="28"/>
          <w:szCs w:val="28"/>
        </w:rPr>
        <w:t>2245.15</w:t>
      </w:r>
      <w:r>
        <w:rPr>
          <w:rFonts w:cs="宋体" w:asciiTheme="minorEastAsia" w:hAnsiTheme="minorEastAsia" w:eastAsiaTheme="minorEastAsia"/>
          <w:color w:val="000000"/>
          <w:sz w:val="28"/>
          <w:szCs w:val="28"/>
        </w:rPr>
        <w:t>元，生均校内实训实习工位数为</w:t>
      </w:r>
      <w:r>
        <w:rPr>
          <w:rFonts w:hint="eastAsia" w:cs="宋体" w:asciiTheme="minorEastAsia" w:hAnsiTheme="minorEastAsia" w:eastAsiaTheme="minorEastAsia"/>
          <w:color w:val="000000"/>
          <w:sz w:val="28"/>
          <w:szCs w:val="28"/>
        </w:rPr>
        <w:t>0.29</w:t>
      </w:r>
      <w:r>
        <w:rPr>
          <w:rFonts w:cs="宋体" w:asciiTheme="minorEastAsia" w:hAnsiTheme="minorEastAsia" w:eastAsiaTheme="minorEastAsia"/>
          <w:color w:val="000000"/>
          <w:sz w:val="28"/>
          <w:szCs w:val="28"/>
        </w:rPr>
        <w:t>个，生均纸质图书数</w:t>
      </w:r>
      <w:r>
        <w:rPr>
          <w:rFonts w:hint="eastAsia" w:cs="宋体" w:asciiTheme="minorEastAsia" w:hAnsiTheme="minorEastAsia" w:eastAsiaTheme="minorEastAsia"/>
          <w:color w:val="000000"/>
          <w:sz w:val="28"/>
          <w:szCs w:val="28"/>
        </w:rPr>
        <w:t>3.91</w:t>
      </w:r>
      <w:r>
        <w:rPr>
          <w:rFonts w:cs="宋体" w:asciiTheme="minorEastAsia" w:hAnsiTheme="minorEastAsia" w:eastAsiaTheme="minorEastAsia"/>
          <w:color w:val="000000"/>
          <w:sz w:val="28"/>
          <w:szCs w:val="28"/>
        </w:rPr>
        <w:t>册。</w:t>
      </w:r>
    </w:p>
    <w:tbl>
      <w:tblPr>
        <w:tblStyle w:val="15"/>
        <w:tblW w:w="8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929"/>
        <w:gridCol w:w="223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369" w:type="dxa"/>
            <w:shd w:val="solid" w:color="DDD9C4" w:themeColor="background2" w:themeShade="E6" w:fill="C5E0B3"/>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指标</w:t>
            </w:r>
          </w:p>
        </w:tc>
        <w:tc>
          <w:tcPr>
            <w:tcW w:w="929" w:type="dxa"/>
            <w:shd w:val="solid" w:color="DDD9C4" w:themeColor="background2" w:themeShade="E6" w:fill="C5E0B3"/>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单位</w:t>
            </w:r>
          </w:p>
        </w:tc>
        <w:tc>
          <w:tcPr>
            <w:tcW w:w="2230" w:type="dxa"/>
            <w:shd w:val="solid" w:color="DDD9C4" w:themeColor="background2" w:themeShade="E6" w:fill="C5E0B3"/>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20</w:t>
            </w:r>
            <w:r>
              <w:rPr>
                <w:rFonts w:hint="eastAsia" w:asciiTheme="minorEastAsia" w:hAnsiTheme="minorEastAsia" w:eastAsiaTheme="minorEastAsia"/>
                <w:sz w:val="21"/>
                <w:szCs w:val="21"/>
              </w:rPr>
              <w:t>20</w:t>
            </w:r>
            <w:r>
              <w:rPr>
                <w:rFonts w:hint="eastAsia" w:cs="Times New Roman" w:asciiTheme="minorEastAsia" w:hAnsiTheme="minorEastAsia" w:eastAsiaTheme="minorEastAsia"/>
                <w:sz w:val="21"/>
                <w:szCs w:val="21"/>
              </w:rPr>
              <w:t>—202</w:t>
            </w:r>
            <w:r>
              <w:rPr>
                <w:rFonts w:hint="eastAsia" w:asciiTheme="minorEastAsia" w:hAnsiTheme="minorEastAsia" w:eastAsiaTheme="minorEastAsia"/>
                <w:sz w:val="21"/>
                <w:szCs w:val="21"/>
              </w:rPr>
              <w:t>1</w:t>
            </w:r>
            <w:r>
              <w:rPr>
                <w:rFonts w:hint="eastAsia" w:cs="Times New Roman" w:asciiTheme="minorEastAsia" w:hAnsiTheme="minorEastAsia" w:eastAsiaTheme="minorEastAsia"/>
                <w:sz w:val="21"/>
                <w:szCs w:val="21"/>
              </w:rPr>
              <w:t>学年</w:t>
            </w:r>
          </w:p>
        </w:tc>
        <w:tc>
          <w:tcPr>
            <w:tcW w:w="2235" w:type="dxa"/>
            <w:shd w:val="solid" w:color="DDD9C4" w:themeColor="background2" w:themeShade="E6" w:fill="C5E0B3"/>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202</w:t>
            </w:r>
            <w:r>
              <w:rPr>
                <w:rFonts w:hint="eastAsia" w:asciiTheme="minorEastAsia" w:hAnsiTheme="minorEastAsia" w:eastAsiaTheme="minorEastAsia"/>
                <w:sz w:val="21"/>
                <w:szCs w:val="21"/>
              </w:rPr>
              <w:t>1</w:t>
            </w:r>
            <w:r>
              <w:rPr>
                <w:rFonts w:hint="eastAsia" w:cs="Times New Roman" w:asciiTheme="minorEastAsia" w:hAnsiTheme="minorEastAsia" w:eastAsiaTheme="minorEastAsia"/>
                <w:sz w:val="21"/>
                <w:szCs w:val="21"/>
              </w:rPr>
              <w:t>—202</w:t>
            </w:r>
            <w:r>
              <w:rPr>
                <w:rFonts w:hint="eastAsia" w:asciiTheme="minorEastAsia" w:hAnsiTheme="minorEastAsia" w:eastAsiaTheme="minorEastAsia"/>
                <w:sz w:val="21"/>
                <w:szCs w:val="21"/>
              </w:rPr>
              <w:t>2</w:t>
            </w:r>
            <w:r>
              <w:rPr>
                <w:rFonts w:hint="eastAsia" w:cs="Times New Roman" w:asciiTheme="minorEastAsia" w:hAnsiTheme="minorEastAsia" w:eastAsiaTheme="minorEastAsia"/>
                <w:sz w:val="21"/>
                <w:szCs w:val="21"/>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6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生均校园占地面积</w:t>
            </w:r>
          </w:p>
        </w:tc>
        <w:tc>
          <w:tcPr>
            <w:tcW w:w="929" w:type="dxa"/>
            <w:vAlign w:val="top"/>
          </w:tcPr>
          <w:p>
            <w:pPr>
              <w:spacing w:line="578" w:lineRule="exact"/>
              <w:jc w:val="center"/>
              <w:rPr>
                <w:rFonts w:cs="Times New Roman" w:asciiTheme="minorEastAsia" w:hAnsiTheme="minorEastAsia" w:eastAsiaTheme="minorEastAsia"/>
                <w:sz w:val="21"/>
                <w:szCs w:val="21"/>
              </w:rPr>
            </w:pPr>
            <w:r>
              <w:rPr>
                <w:rFonts w:hint="eastAsia" w:cs="宋体" w:asciiTheme="minorEastAsia" w:hAnsiTheme="minorEastAsia" w:eastAsiaTheme="minorEastAsia"/>
                <w:sz w:val="21"/>
                <w:szCs w:val="21"/>
              </w:rPr>
              <w:t>㎡</w:t>
            </w:r>
          </w:p>
        </w:tc>
        <w:tc>
          <w:tcPr>
            <w:tcW w:w="2230"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76.39</w:t>
            </w:r>
          </w:p>
        </w:tc>
        <w:tc>
          <w:tcPr>
            <w:tcW w:w="2235"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6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生均校舍建筑面积</w:t>
            </w:r>
          </w:p>
        </w:tc>
        <w:tc>
          <w:tcPr>
            <w:tcW w:w="929" w:type="dxa"/>
            <w:vAlign w:val="top"/>
          </w:tcPr>
          <w:p>
            <w:pPr>
              <w:spacing w:line="578" w:lineRule="exact"/>
              <w:jc w:val="center"/>
              <w:rPr>
                <w:rFonts w:cs="Times New Roman" w:asciiTheme="minorEastAsia" w:hAnsiTheme="minorEastAsia" w:eastAsiaTheme="minorEastAsia"/>
                <w:sz w:val="21"/>
                <w:szCs w:val="21"/>
              </w:rPr>
            </w:pPr>
            <w:r>
              <w:rPr>
                <w:rFonts w:hint="eastAsia" w:cs="宋体" w:asciiTheme="minorEastAsia" w:hAnsiTheme="minorEastAsia" w:eastAsiaTheme="minorEastAsia"/>
                <w:sz w:val="21"/>
                <w:szCs w:val="21"/>
              </w:rPr>
              <w:t>㎡</w:t>
            </w:r>
          </w:p>
        </w:tc>
        <w:tc>
          <w:tcPr>
            <w:tcW w:w="2230"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22.30</w:t>
            </w:r>
          </w:p>
        </w:tc>
        <w:tc>
          <w:tcPr>
            <w:tcW w:w="2235"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69" w:type="dxa"/>
            <w:vAlign w:val="top"/>
          </w:tcPr>
          <w:p>
            <w:pPr>
              <w:spacing w:line="578" w:lineRule="exact"/>
              <w:jc w:val="center"/>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生均教学仪器设备值</w:t>
            </w:r>
          </w:p>
        </w:tc>
        <w:tc>
          <w:tcPr>
            <w:tcW w:w="92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元</w:t>
            </w:r>
          </w:p>
        </w:tc>
        <w:tc>
          <w:tcPr>
            <w:tcW w:w="2230"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2027.56</w:t>
            </w:r>
          </w:p>
        </w:tc>
        <w:tc>
          <w:tcPr>
            <w:tcW w:w="2235"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2245.15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6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校内实习实训基地数</w:t>
            </w:r>
          </w:p>
        </w:tc>
        <w:tc>
          <w:tcPr>
            <w:tcW w:w="92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个</w:t>
            </w:r>
          </w:p>
        </w:tc>
        <w:tc>
          <w:tcPr>
            <w:tcW w:w="2230" w:type="dxa"/>
            <w:vAlign w:val="top"/>
          </w:tcPr>
          <w:p>
            <w:pPr>
              <w:spacing w:line="578" w:lineRule="exact"/>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31</w:t>
            </w:r>
          </w:p>
        </w:tc>
        <w:tc>
          <w:tcPr>
            <w:tcW w:w="2235" w:type="dxa"/>
            <w:vAlign w:val="top"/>
          </w:tcPr>
          <w:p>
            <w:pPr>
              <w:spacing w:line="578" w:lineRule="exact"/>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6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校内</w:t>
            </w:r>
            <w:r>
              <w:rPr>
                <w:rFonts w:cs="Times New Roman" w:asciiTheme="minorEastAsia" w:hAnsiTheme="minorEastAsia" w:eastAsiaTheme="minorEastAsia"/>
                <w:sz w:val="21"/>
                <w:szCs w:val="21"/>
              </w:rPr>
              <w:t>实训实习</w:t>
            </w:r>
            <w:r>
              <w:rPr>
                <w:rFonts w:hint="eastAsia" w:cs="Times New Roman" w:asciiTheme="minorEastAsia" w:hAnsiTheme="minorEastAsia" w:eastAsiaTheme="minorEastAsia"/>
                <w:sz w:val="21"/>
                <w:szCs w:val="21"/>
              </w:rPr>
              <w:t>基地</w:t>
            </w:r>
            <w:r>
              <w:rPr>
                <w:rFonts w:cs="Times New Roman" w:asciiTheme="minorEastAsia" w:hAnsiTheme="minorEastAsia" w:eastAsiaTheme="minorEastAsia"/>
                <w:sz w:val="21"/>
                <w:szCs w:val="21"/>
              </w:rPr>
              <w:t>工位数</w:t>
            </w:r>
          </w:p>
        </w:tc>
        <w:tc>
          <w:tcPr>
            <w:tcW w:w="92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个</w:t>
            </w:r>
          </w:p>
        </w:tc>
        <w:tc>
          <w:tcPr>
            <w:tcW w:w="2230" w:type="dxa"/>
            <w:vAlign w:val="top"/>
          </w:tcPr>
          <w:p>
            <w:pPr>
              <w:spacing w:line="578" w:lineRule="exact"/>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612</w:t>
            </w:r>
          </w:p>
        </w:tc>
        <w:tc>
          <w:tcPr>
            <w:tcW w:w="2235"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69" w:type="dxa"/>
            <w:vAlign w:val="top"/>
          </w:tcPr>
          <w:p>
            <w:pPr>
              <w:spacing w:line="578" w:lineRule="exact"/>
              <w:jc w:val="center"/>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纸质图书</w:t>
            </w:r>
            <w:r>
              <w:rPr>
                <w:rFonts w:hint="eastAsia" w:cs="Times New Roman" w:asciiTheme="minorEastAsia" w:hAnsiTheme="minorEastAsia" w:eastAsiaTheme="minorEastAsia"/>
                <w:sz w:val="21"/>
                <w:szCs w:val="21"/>
              </w:rPr>
              <w:t>数</w:t>
            </w:r>
          </w:p>
        </w:tc>
        <w:tc>
          <w:tcPr>
            <w:tcW w:w="929"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册</w:t>
            </w:r>
          </w:p>
        </w:tc>
        <w:tc>
          <w:tcPr>
            <w:tcW w:w="2230"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6800</w:t>
            </w:r>
          </w:p>
        </w:tc>
        <w:tc>
          <w:tcPr>
            <w:tcW w:w="2235" w:type="dxa"/>
            <w:vAlign w:val="top"/>
          </w:tcPr>
          <w:p>
            <w:pPr>
              <w:spacing w:line="578" w:lineRule="exact"/>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6800</w:t>
            </w:r>
          </w:p>
        </w:tc>
      </w:tr>
    </w:tbl>
    <w:p>
      <w:pPr>
        <w:spacing w:line="578" w:lineRule="exact"/>
        <w:ind w:firstLine="420" w:firstLineChars="200"/>
        <w:jc w:val="center"/>
        <w:rPr>
          <w:rFonts w:ascii="宋体" w:hAnsi="宋体" w:eastAsia="宋体" w:cs="宋体"/>
          <w:color w:val="000000"/>
          <w:sz w:val="21"/>
          <w:szCs w:val="21"/>
        </w:rPr>
      </w:pPr>
      <w:r>
        <w:rPr>
          <w:rFonts w:hint="eastAsia" w:ascii="宋体" w:hAnsi="宋体" w:eastAsia="宋体" w:cs="宋体"/>
          <w:color w:val="000000"/>
          <w:sz w:val="21"/>
          <w:szCs w:val="21"/>
        </w:rPr>
        <w:t>表</w:t>
      </w:r>
      <w:r>
        <w:rPr>
          <w:rFonts w:hint="eastAsia" w:cs="宋体" w:asciiTheme="minorEastAsia" w:hAnsiTheme="minorEastAsia" w:eastAsiaTheme="minorEastAsia"/>
          <w:color w:val="000000"/>
          <w:sz w:val="21"/>
          <w:szCs w:val="21"/>
        </w:rPr>
        <w:t>3</w:t>
      </w:r>
      <w:r>
        <w:rPr>
          <w:rFonts w:hint="eastAsia" w:ascii="宋体" w:hAnsi="宋体" w:eastAsia="宋体" w:cs="宋体"/>
          <w:color w:val="000000"/>
          <w:sz w:val="21"/>
          <w:szCs w:val="21"/>
        </w:rPr>
        <w:t>：设备设施</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2.学生发展质量</w:t>
      </w:r>
      <w:r>
        <w:rPr>
          <w:rFonts w:hint="eastAsia" w:asciiTheme="minorEastAsia" w:hAnsiTheme="minorEastAsia" w:eastAsiaTheme="minorEastAsia"/>
          <w:b/>
          <w:sz w:val="28"/>
          <w:szCs w:val="28"/>
        </w:rPr>
        <w:tab/>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2.1党建引领</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全校师生认真学习贯彻习近平新时代中国特色社会主义思想，党支部组织党员教师深入学习《习近平新时代中国特色社会主义思想学习纲要》《习近平关于“不忘初心、牢记使命”论述摘编》和《优秀共产党员先进事迹选编》等书籍，明确学习主题，学习内容。严格按照上级党委工作计划的部署和要求，坚持从严从实，做到“三个突出”：</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一是突出责任落实。支部及时制定并在党员会议上通过主题教育活动实施方案和支部学习教育工作计划，将主体责任和学习任务明细化、具体化，对照学习教育责任清单、任务清单，细化到人、量化到岗，紧扣时间节点，一项一项抓落实。</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二是突出常态长效。支部坚持以落实党员日常教育管理制度为基本依托，把思想教育抓在日常，以“三会一课”为抓手，聚焦党员教师学习、思考和领会，以党课</w:t>
      </w:r>
      <w:r>
        <w:rPr>
          <w:rFonts w:hint="eastAsia" w:asciiTheme="minorEastAsia" w:hAnsiTheme="minorEastAsia" w:eastAsiaTheme="minorEastAsia"/>
          <w:sz w:val="28"/>
          <w:szCs w:val="28"/>
          <w:lang w:val="en-US" w:eastAsia="zh-CN"/>
        </w:rPr>
        <w:t>进</w:t>
      </w:r>
      <w:r>
        <w:rPr>
          <w:rFonts w:hint="eastAsia" w:asciiTheme="minorEastAsia" w:hAnsiTheme="minorEastAsia" w:eastAsiaTheme="minorEastAsia"/>
          <w:sz w:val="28"/>
          <w:szCs w:val="28"/>
        </w:rPr>
        <w:t>促党员教师思想觉悟的提高。多次开展专题党课，引导督促全体党员教师认真学习党章、党内政治生活若干准则、廉洁自律准则、纪律处分条例等党内法规。</w:t>
      </w:r>
    </w:p>
    <w:p>
      <w:pPr>
        <w:pStyle w:val="19"/>
        <w:spacing w:line="360" w:lineRule="auto"/>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三是突出示范引领。结合系列主题活动，组织党员参加公益活动；设立“党员示范岗”，开展“当先锋，树形象”公开承诺活动。这些活动的开展为党员教师积极搭建发挥先锋模范作用的有效平台，把工作落实到具体行动中，落实到教育教学的各个方面，真正立足岗位做贡献，发挥出党员的示范引领作用。</w:t>
      </w:r>
    </w:p>
    <w:p>
      <w:pPr>
        <w:pStyle w:val="19"/>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3463925" cy="2338705"/>
            <wp:effectExtent l="0" t="0" r="10795" b="8255"/>
            <wp:docPr id="9" name="图片 9" descr="图片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22"/>
                    <pic:cNvPicPr>
                      <a:picLocks noChangeAspect="1"/>
                    </pic:cNvPicPr>
                  </pic:nvPicPr>
                  <pic:blipFill>
                    <a:blip r:embed="rId14"/>
                    <a:stretch>
                      <a:fillRect/>
                    </a:stretch>
                  </pic:blipFill>
                  <pic:spPr>
                    <a:xfrm>
                      <a:off x="0" y="0"/>
                      <a:ext cx="3463925" cy="2338705"/>
                    </a:xfrm>
                    <a:prstGeom prst="rect">
                      <a:avLst/>
                    </a:prstGeom>
                  </pic:spPr>
                </pic:pic>
              </a:graphicData>
            </a:graphic>
          </wp:inline>
        </w:drawing>
      </w:r>
    </w:p>
    <w:p>
      <w:pPr>
        <w:pStyle w:val="19"/>
        <w:spacing w:line="360" w:lineRule="auto"/>
        <w:ind w:firstLine="420" w:firstLineChars="200"/>
        <w:jc w:val="center"/>
        <w:rPr>
          <w:rFonts w:asciiTheme="minorEastAsia" w:hAnsiTheme="minorEastAsia" w:eastAsiaTheme="minorEastAsia"/>
          <w:b/>
          <w:color w:val="FF0000"/>
          <w:sz w:val="28"/>
          <w:szCs w:val="28"/>
        </w:rPr>
      </w:pPr>
      <w:r>
        <w:rPr>
          <w:rFonts w:hint="eastAsia" w:asciiTheme="minorEastAsia" w:hAnsiTheme="minorEastAsia" w:eastAsiaTheme="minorEastAsia"/>
          <w:color w:val="auto"/>
          <w:sz w:val="21"/>
          <w:szCs w:val="21"/>
        </w:rPr>
        <w:t>图1：党员</w:t>
      </w:r>
      <w:r>
        <w:rPr>
          <w:rFonts w:hint="eastAsia" w:asciiTheme="minorEastAsia" w:hAnsiTheme="minorEastAsia" w:eastAsiaTheme="minorEastAsia"/>
          <w:color w:val="auto"/>
          <w:sz w:val="21"/>
          <w:szCs w:val="21"/>
          <w:lang w:val="en-US" w:eastAsia="zh-CN"/>
        </w:rPr>
        <w:t>教师重温入党誓词</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2.2立德树人</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学校围绕落实“立德树人”机制全面推进德育工作，在德育实施过程中，遵循教育规律，把握学生特点。在思想道德课程建设、德育活动、法纪教育、心理健康教育、网络思想教育等方面进行了许多有益的探索。学校重视德育队伍建设，有</w:t>
      </w:r>
      <w:r>
        <w:rPr>
          <w:rFonts w:hint="eastAsia" w:asciiTheme="minorEastAsia" w:hAnsiTheme="minorEastAsia" w:eastAsiaTheme="minorEastAsia"/>
          <w:bCs/>
          <w:sz w:val="28"/>
          <w:szCs w:val="28"/>
        </w:rPr>
        <w:t>思想政治课教师4人，班主任28人，德育管理人员 10人，</w:t>
      </w:r>
      <w:r>
        <w:rPr>
          <w:rFonts w:hint="eastAsia" w:asciiTheme="minorEastAsia" w:hAnsiTheme="minorEastAsia" w:eastAsiaTheme="minorEastAsia"/>
          <w:sz w:val="28"/>
          <w:szCs w:val="28"/>
        </w:rPr>
        <w:t>在对德育工作者、德育骨干教师、班主任的培训上给予大力支持，对提高以上人员素质起到很好的促进作用。</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（一）以“四自”为德育工作指导思想</w:t>
      </w:r>
    </w:p>
    <w:p>
      <w:pPr>
        <w:pStyle w:val="19"/>
        <w:spacing w:line="360" w:lineRule="auto"/>
        <w:ind w:firstLine="560" w:firstLineChars="200"/>
        <w:rPr>
          <w:rFonts w:ascii="楷体" w:hAnsi="楷体" w:eastAsia="楷体" w:cs="宋体"/>
          <w:sz w:val="28"/>
          <w:szCs w:val="28"/>
        </w:rPr>
      </w:pPr>
      <w:r>
        <w:rPr>
          <w:rFonts w:hint="eastAsia" w:asciiTheme="minorEastAsia" w:hAnsiTheme="minorEastAsia" w:eastAsiaTheme="minorEastAsia"/>
          <w:sz w:val="28"/>
          <w:szCs w:val="28"/>
        </w:rPr>
        <w:t>学校德育工作以“四自”为指导思想，即让学生做到在生活上“自理”、管理上“自治”、学习上“自学”、心育上“自悟”。在日常的德育教育工作中，我们以此“四自”为指导思想践行工作。</w:t>
      </w:r>
    </w:p>
    <w:p>
      <w:pPr>
        <w:spacing w:line="360" w:lineRule="auto"/>
        <w:ind w:firstLine="560" w:firstLineChars="200"/>
        <w:rPr>
          <w:rFonts w:ascii="楷体" w:hAnsi="楷体" w:eastAsia="楷体" w:cs="宋体"/>
          <w:color w:val="000000"/>
          <w:sz w:val="28"/>
          <w:szCs w:val="28"/>
        </w:rPr>
      </w:pPr>
      <w:r>
        <w:rPr>
          <w:rFonts w:hint="eastAsia" w:ascii="楷体" w:hAnsi="楷体" w:eastAsia="楷体" w:cs="宋体"/>
          <w:sz w:val="28"/>
          <w:szCs w:val="28"/>
        </w:rPr>
        <w:t>中职学校的德育是一项巨大的系统工程，道德是照亮学生全面发展的光源，我们要培养孩子们都做一个内心有光的人，这需要学校足够重视，要充分发挥德育干部、班主任、任课老师、心理教师的作用。人人参与、明确分工、认真执行才能够达到较好的德育效果，只有做好学生管理和学生德育，学校才能更加全面的可持续长远发展。</w:t>
      </w:r>
      <w:r>
        <w:rPr>
          <w:rFonts w:hint="eastAsia" w:ascii="楷体" w:hAnsi="楷体" w:eastAsia="楷体" w:cs="宋体"/>
          <w:color w:val="000000"/>
          <w:sz w:val="28"/>
          <w:szCs w:val="28"/>
        </w:rPr>
        <w:t>我们经过一段时间的摸索，在生活上自理、学习上自学、管理上自治、心理上自悟，即“四自育人”教育，发现对提高中职德育管理效率及提高中职学生教学效果上有较强的实践意义和不错的效果。</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（二）扎实推进重点工作</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全面落实课程育人。突出德育课堂和学科德育的关键作用。（1）充分利用晨会、班会、心理课等德育主阵地，对学生进行习惯培养和德行养成，提升综合素养、形成健康人格。（2）开足开齐道法课、思政课，开足率达到100%。（3）注重学科德育，围绕学科核心素养目标，创新教学方式，注重情境教学。（4）分学段组织开展晨会、班会、心理课、思政课评比，组织学科德育、思政一体化研讨活动。</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加大推进三全育人。在全员育人、全程育人、全方位育人的“三全育人”德育架构之下，要充分发挥德育干部、班主任、任课老师、心理教师的作用。（1）充分发挥德育干部在全员育人中的引领作用。（2）调动班主任老师在全员育人中的主导作用。激励班主任老师进一步建设好班集体、做学生的知心人和人生导师。（3）重视任课老师在全员育人中的能动作用，在知识学习过程中，陶冶情操、坚定理想信念。（4）发挥心理健康教育老师的关键作用。充分调动心理健康老师的主动性，发挥专业队伍在心理健康教育课程、心理活动、心理辅导、危机干预中的专业引领作用，探究心理健康教育的育人功能。</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（三）加强开展德育教育</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加强心理健康教育。通过每学段一个年级二周一次心理课、心理月活动、心理课比赛等活动推进学生积极心理品质的养成；开展特殊时期，突出问题的针对性心理健康活动，围绕新生入学季、毕业季、考试季等特殊时期，针对注意力、网络成瘾、情绪、青春期成长等突出心理问题开展针对性心理健康活动。</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开展劳动教育。（1）抓好校内劳动。在学校日常运行中渗透劳动教育，定期组织学生参与校园卫生保洁和绿化美化，形成“人人有岗位、事事有担当”的教育常态。广泛组织以劳动教育为主题的班团队会，提高学生劳动意识。（2）组织校外劳动。充分利用劳动教育实践基地、综合实践基地和其他德育资源，组织学生参加公益劳动与志愿服务。（3）鼓励家务劳动。教育学生自己事情自己做，家里事情帮着做，弘扬优良家风，参与孝亲、敬老、爱幼等方面的劳动。</w:t>
      </w:r>
    </w:p>
    <w:p>
      <w:pPr>
        <w:pStyle w:val="19"/>
        <w:spacing w:line="360" w:lineRule="auto"/>
        <w:ind w:firstLine="560" w:firstLineChars="200"/>
        <w:jc w:val="both"/>
        <w:rPr>
          <w:rFonts w:ascii="楷体" w:hAnsi="楷体" w:eastAsia="楷体"/>
          <w:sz w:val="28"/>
          <w:szCs w:val="28"/>
        </w:rPr>
      </w:pPr>
      <w:r>
        <w:rPr>
          <w:rFonts w:hint="eastAsia" w:ascii="楷体" w:hAnsi="楷体" w:eastAsia="楷体"/>
          <w:sz w:val="28"/>
          <w:szCs w:val="28"/>
        </w:rPr>
        <w:t>为了使学生树立正确的劳动观和保持良好的劳动态度，</w:t>
      </w:r>
      <w:r>
        <w:rPr>
          <w:rFonts w:ascii="楷体" w:hAnsi="楷体" w:eastAsia="楷体"/>
          <w:sz w:val="28"/>
          <w:szCs w:val="28"/>
        </w:rPr>
        <w:t>磨练意志</w:t>
      </w:r>
      <w:r>
        <w:rPr>
          <w:rFonts w:hint="eastAsia" w:ascii="楷体" w:hAnsi="楷体" w:eastAsia="楷体"/>
          <w:sz w:val="28"/>
          <w:szCs w:val="28"/>
        </w:rPr>
        <w:t>，有效</w:t>
      </w:r>
      <w:r>
        <w:rPr>
          <w:rFonts w:ascii="楷体" w:hAnsi="楷体" w:eastAsia="楷体"/>
          <w:sz w:val="28"/>
          <w:szCs w:val="28"/>
        </w:rPr>
        <w:t>促进学生身心健康发展</w:t>
      </w:r>
      <w:r>
        <w:rPr>
          <w:rFonts w:hint="eastAsia" w:ascii="楷体" w:hAnsi="楷体" w:eastAsia="楷体"/>
          <w:sz w:val="28"/>
          <w:szCs w:val="28"/>
        </w:rPr>
        <w:t>，学校组织开展 “西部开荒”劳动教育活动，20物流服务与管理专业的学生成为本次活动的首批参与者。学生们在带队老师的安排下，纷纷拿起锄头，开始垦地。对于学生而言，亦是惰性使然，劳动并没那么容易，而这种拿起锄头垦地的活儿，大部分学生表示 “头一回”。正值初冬，虽没有“锄禾日当午”的“汗滴禾下土”，但大家依然可以感受到抡锄头的不易，臂膀的酸疼让学生们深刻体会劳作的辛苦。经过一小时的努力，大家才把“责任地”开垦完毕。这样的劳动实践让教育不再局限于室内，一方面丰富学生的课余生活，锻炼学生的身心意志，同时在劳动中收获的团队协作力和成就感更是弥足珍贵。</w:t>
      </w:r>
    </w:p>
    <w:p>
      <w:pPr>
        <w:pStyle w:val="19"/>
        <w:spacing w:line="360" w:lineRule="auto"/>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4627245" cy="2654935"/>
            <wp:effectExtent l="19050" t="0" r="1772"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noChangeArrowheads="1"/>
                    </pic:cNvPicPr>
                  </pic:nvPicPr>
                  <pic:blipFill>
                    <a:blip r:embed="rId15" cstate="print"/>
                    <a:srcRect/>
                    <a:stretch>
                      <a:fillRect/>
                    </a:stretch>
                  </pic:blipFill>
                  <pic:spPr>
                    <a:xfrm>
                      <a:off x="0" y="0"/>
                      <a:ext cx="4626982" cy="2654741"/>
                    </a:xfrm>
                    <a:prstGeom prst="rect">
                      <a:avLst/>
                    </a:prstGeom>
                    <a:noFill/>
                    <a:ln w="9525">
                      <a:noFill/>
                      <a:miter lim="800000"/>
                      <a:headEnd/>
                      <a:tailEnd/>
                    </a:ln>
                    <a:effectLst/>
                  </pic:spPr>
                </pic:pic>
              </a:graphicData>
            </a:graphic>
          </wp:inline>
        </w:drawing>
      </w:r>
    </w:p>
    <w:p>
      <w:pPr>
        <w:pStyle w:val="19"/>
        <w:spacing w:line="360" w:lineRule="auto"/>
        <w:ind w:firstLine="420" w:firstLineChars="200"/>
        <w:jc w:val="center"/>
        <w:rPr>
          <w:rFonts w:asciiTheme="minorEastAsia" w:hAnsiTheme="minorEastAsia" w:eastAsiaTheme="minorEastAsia"/>
          <w:sz w:val="28"/>
          <w:szCs w:val="28"/>
        </w:rPr>
      </w:pPr>
      <w:r>
        <w:rPr>
          <w:rFonts w:hint="eastAsia" w:asciiTheme="minorEastAsia" w:hAnsiTheme="minorEastAsia" w:eastAsiaTheme="minorEastAsia"/>
          <w:sz w:val="21"/>
          <w:szCs w:val="21"/>
        </w:rPr>
        <w:t>图2：学生参加“劳动教育”活动</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开展法制教育。积极探索拓展普法阵地建设、创新普法形式、丰富普法内容，提高法制宣传教育工作实效。依托平台落实好学校毒品预防教育课程，组织参加全国青少年禁毒知识答题活动，用好《苏州市中小学生毒品预防教育读本》，组织学生利用苏州安全教育平台，积极开展安全知识教育宣传，丰富安全教育内容，切实提高学生的安全防范意识和自我保护能力。组织学生推进“学宪法、讲宪法”网上学习和“宪法卫士”行动计划，开展国家宪法日“宪法晨读”活动，提升宪法教育的影响力和感染力。</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bCs/>
          <w:sz w:val="28"/>
          <w:szCs w:val="28"/>
        </w:rPr>
        <w:t>（四）注重建设常规工作</w:t>
      </w:r>
    </w:p>
    <w:p>
      <w:pPr>
        <w:pStyle w:val="19"/>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 xml:space="preserve">1.重常规，认真开展文明礼仪养成教育。加强学生行为习惯和文明礼仪教育。（1）认真落实《中小学文明礼仪教育指导纲要》《中小学生守则》，加强公民意识教育，强化细节养成，严格日常管理，引导学生养成诚实守信、孝敬感恩、团结友善、文明礼貌的行为习惯。（2）做好“八礼四仪”养成教育，落实教学渠道，创新教育形式，深化拓展文明礼仪养成教育，用文明礼仪的“小切口”做好社会主义核心价值观教育的“大文章”。  </w:t>
      </w:r>
    </w:p>
    <w:p>
      <w:pPr>
        <w:pStyle w:val="19"/>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2.强管理，</w:t>
      </w:r>
      <w:r>
        <w:rPr>
          <w:rFonts w:hint="eastAsia" w:asciiTheme="minorEastAsia" w:hAnsiTheme="minorEastAsia" w:eastAsiaTheme="minorEastAsia"/>
          <w:bCs/>
          <w:sz w:val="28"/>
          <w:szCs w:val="28"/>
        </w:rPr>
        <w:t>着力打造职业技能大舞台。（1）建设学生社团，发展学生个性。学校成立</w:t>
      </w:r>
      <w:r>
        <w:rPr>
          <w:rFonts w:asciiTheme="minorEastAsia" w:hAnsiTheme="minorEastAsia" w:eastAsiaTheme="minorEastAsia"/>
          <w:sz w:val="28"/>
          <w:szCs w:val="28"/>
        </w:rPr>
        <w:t>各类学生社团10多个，包括</w:t>
      </w:r>
      <w:r>
        <w:rPr>
          <w:rFonts w:hint="eastAsia" w:asciiTheme="minorEastAsia" w:hAnsiTheme="minorEastAsia" w:eastAsiaTheme="minorEastAsia"/>
          <w:sz w:val="28"/>
          <w:szCs w:val="28"/>
        </w:rPr>
        <w:t>跆拳道、</w:t>
      </w:r>
      <w:r>
        <w:rPr>
          <w:rFonts w:asciiTheme="minorEastAsia" w:hAnsiTheme="minorEastAsia" w:eastAsiaTheme="minorEastAsia"/>
          <w:sz w:val="28"/>
          <w:szCs w:val="28"/>
        </w:rPr>
        <w:t>篮球、</w:t>
      </w:r>
      <w:r>
        <w:rPr>
          <w:rFonts w:hint="eastAsia" w:asciiTheme="minorEastAsia" w:hAnsiTheme="minorEastAsia" w:eastAsiaTheme="minorEastAsia"/>
          <w:sz w:val="28"/>
          <w:szCs w:val="28"/>
        </w:rPr>
        <w:t>手工、街舞社</w:t>
      </w:r>
      <w:r>
        <w:rPr>
          <w:rFonts w:asciiTheme="minorEastAsia" w:hAnsiTheme="minorEastAsia" w:eastAsiaTheme="minorEastAsia"/>
          <w:sz w:val="28"/>
          <w:szCs w:val="28"/>
        </w:rPr>
        <w:t>、</w:t>
      </w:r>
      <w:r>
        <w:rPr>
          <w:rFonts w:hint="eastAsia" w:asciiTheme="minorEastAsia" w:hAnsiTheme="minorEastAsia" w:eastAsiaTheme="minorEastAsia"/>
          <w:sz w:val="28"/>
          <w:szCs w:val="28"/>
        </w:rPr>
        <w:t>古典舞社、</w:t>
      </w:r>
      <w:r>
        <w:rPr>
          <w:rFonts w:asciiTheme="minorEastAsia" w:hAnsiTheme="minorEastAsia" w:eastAsiaTheme="minorEastAsia"/>
          <w:sz w:val="28"/>
          <w:szCs w:val="28"/>
        </w:rPr>
        <w:t>书画</w:t>
      </w:r>
      <w:r>
        <w:rPr>
          <w:rFonts w:hint="eastAsia" w:asciiTheme="minorEastAsia" w:hAnsiTheme="minorEastAsia" w:eastAsiaTheme="minorEastAsia"/>
          <w:sz w:val="28"/>
          <w:szCs w:val="28"/>
        </w:rPr>
        <w:t>、器乐</w:t>
      </w:r>
      <w:r>
        <w:rPr>
          <w:rFonts w:asciiTheme="minorEastAsia" w:hAnsiTheme="minorEastAsia" w:eastAsiaTheme="minorEastAsia"/>
          <w:sz w:val="28"/>
          <w:szCs w:val="28"/>
        </w:rPr>
        <w:t>等</w:t>
      </w:r>
      <w:r>
        <w:rPr>
          <w:rFonts w:hint="eastAsia" w:asciiTheme="minorEastAsia" w:hAnsiTheme="minorEastAsia" w:eastAsiaTheme="minorEastAsia"/>
          <w:sz w:val="28"/>
          <w:szCs w:val="28"/>
        </w:rPr>
        <w:t>。通过开展系列社团活动，</w:t>
      </w:r>
      <w:r>
        <w:rPr>
          <w:rFonts w:hint="eastAsia" w:asciiTheme="minorEastAsia" w:hAnsiTheme="minorEastAsia" w:eastAsiaTheme="minorEastAsia"/>
          <w:bCs/>
          <w:sz w:val="28"/>
          <w:szCs w:val="28"/>
        </w:rPr>
        <w:t>注重过程性资料的积累和成果的提炼，</w:t>
      </w:r>
      <w:r>
        <w:rPr>
          <w:rFonts w:hint="eastAsia" w:asciiTheme="minorEastAsia" w:hAnsiTheme="minorEastAsia" w:eastAsiaTheme="minorEastAsia"/>
          <w:sz w:val="28"/>
          <w:szCs w:val="28"/>
        </w:rPr>
        <w:t>提升学生综合素养。</w:t>
      </w:r>
      <w:r>
        <w:rPr>
          <w:rFonts w:hint="eastAsia" w:asciiTheme="minorEastAsia" w:hAnsiTheme="minorEastAsia" w:eastAsiaTheme="minorEastAsia"/>
          <w:bCs/>
          <w:sz w:val="28"/>
          <w:szCs w:val="28"/>
        </w:rPr>
        <w:t>（2）积极落实“文明风采”活动，助力学生技能提升。</w:t>
      </w:r>
      <w:r>
        <w:rPr>
          <w:rFonts w:hint="eastAsia" w:asciiTheme="minorEastAsia" w:hAnsiTheme="minorEastAsia" w:eastAsiaTheme="minorEastAsia"/>
          <w:sz w:val="28"/>
          <w:szCs w:val="28"/>
        </w:rPr>
        <w:t>“文明风采”活动能加强和改进职业学校德育工作，实现教师和学生素质的共同提升。在第十三届江苏省中等职业学校“文明风采”活动中，学校才艺展示类作品《夏夜》《文·彩》获二等奖；《科技与昆曲》《高举红旗》</w:t>
      </w:r>
      <w:r>
        <w:rPr>
          <w:rFonts w:hint="eastAsia" w:asciiTheme="minorEastAsia" w:hAnsiTheme="minorEastAsia" w:eastAsiaTheme="minorEastAsia"/>
          <w:bCs/>
          <w:sz w:val="28"/>
          <w:szCs w:val="28"/>
        </w:rPr>
        <w:t>获三等奖。</w:t>
      </w:r>
    </w:p>
    <w:p>
      <w:pPr>
        <w:spacing w:line="360" w:lineRule="auto"/>
        <w:ind w:firstLine="420" w:firstLineChars="20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drawing>
          <wp:inline distT="0" distB="0" distL="0" distR="0">
            <wp:extent cx="4926965" cy="3018790"/>
            <wp:effectExtent l="0" t="0" r="10795" b="13970"/>
            <wp:docPr id="14" name="图片 14" descr="C:\Users\Administrator\Desktop\2023质量年报案例\学工处典型案例0\四自育人\12F1D253-FD07-41f9-84BD-04C9E698B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23质量年报案例\学工处典型案例0\四自育人\12F1D253-FD07-41f9-84BD-04C9E698BD67.png"/>
                    <pic:cNvPicPr>
                      <a:picLocks noChangeAspect="1" noChangeArrowheads="1"/>
                    </pic:cNvPicPr>
                  </pic:nvPicPr>
                  <pic:blipFill>
                    <a:blip r:embed="rId16" cstate="print"/>
                    <a:srcRect/>
                    <a:stretch>
                      <a:fillRect/>
                    </a:stretch>
                  </pic:blipFill>
                  <pic:spPr>
                    <a:xfrm>
                      <a:off x="0" y="0"/>
                      <a:ext cx="4926965" cy="3018790"/>
                    </a:xfrm>
                    <a:prstGeom prst="rect">
                      <a:avLst/>
                    </a:prstGeom>
                    <a:noFill/>
                    <a:ln w="9525">
                      <a:noFill/>
                      <a:miter lim="800000"/>
                      <a:headEnd/>
                      <a:tailEnd/>
                    </a:ln>
                  </pic:spPr>
                </pic:pic>
              </a:graphicData>
            </a:graphic>
          </wp:inline>
        </w:drawing>
      </w:r>
    </w:p>
    <w:p>
      <w:pPr>
        <w:spacing w:line="360" w:lineRule="auto"/>
        <w:jc w:val="center"/>
        <w:rPr>
          <w:rFonts w:asciiTheme="minorEastAsia" w:hAnsiTheme="minorEastAsia" w:eastAsiaTheme="minorEastAsia"/>
          <w:bCs/>
          <w:sz w:val="28"/>
          <w:szCs w:val="28"/>
        </w:rPr>
      </w:pPr>
      <w:r>
        <w:rPr>
          <w:rFonts w:hint="eastAsia" w:cs="宋体" w:asciiTheme="minorEastAsia" w:hAnsiTheme="minorEastAsia" w:eastAsiaTheme="minorEastAsia"/>
          <w:sz w:val="21"/>
          <w:szCs w:val="21"/>
        </w:rPr>
        <w:t>图3：学校跆拳道社团跑步热身</w:t>
      </w:r>
    </w:p>
    <w:p>
      <w:pPr>
        <w:pStyle w:val="19"/>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drawing>
          <wp:inline distT="0" distB="0" distL="114300" distR="114300">
            <wp:extent cx="4812030" cy="3437890"/>
            <wp:effectExtent l="0" t="0" r="3810" b="6350"/>
            <wp:docPr id="1" name="图片 1" descr="才艺展示_绘画_苏州福纳影视艺术学校_文•彩_莫舒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才艺展示_绘画_苏州福纳影视艺术学校_文•彩_莫舒麟"/>
                    <pic:cNvPicPr>
                      <a:picLocks noChangeAspect="1"/>
                    </pic:cNvPicPr>
                  </pic:nvPicPr>
                  <pic:blipFill>
                    <a:blip r:embed="rId17"/>
                    <a:stretch>
                      <a:fillRect/>
                    </a:stretch>
                  </pic:blipFill>
                  <pic:spPr>
                    <a:xfrm>
                      <a:off x="0" y="0"/>
                      <a:ext cx="4812030" cy="3437890"/>
                    </a:xfrm>
                    <a:prstGeom prst="rect">
                      <a:avLst/>
                    </a:prstGeom>
                  </pic:spPr>
                </pic:pic>
              </a:graphicData>
            </a:graphic>
          </wp:inline>
        </w:drawing>
      </w:r>
    </w:p>
    <w:p>
      <w:pPr>
        <w:pStyle w:val="19"/>
        <w:spacing w:line="360" w:lineRule="auto"/>
        <w:ind w:firstLine="420" w:firstLineChars="20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图4：学生作品《文·彩》</w:t>
      </w:r>
    </w:p>
    <w:p>
      <w:pPr>
        <w:pStyle w:val="19"/>
        <w:spacing w:line="360" w:lineRule="auto"/>
        <w:jc w:val="center"/>
        <w:rPr>
          <w:rFonts w:asciiTheme="minorEastAsia" w:hAnsiTheme="minorEastAsia" w:eastAsiaTheme="minorEastAsia"/>
          <w:bCs/>
          <w:sz w:val="28"/>
          <w:szCs w:val="28"/>
        </w:rPr>
      </w:pPr>
      <w:r>
        <w:rPr>
          <w:rFonts w:asciiTheme="minorEastAsia" w:hAnsiTheme="minorEastAsia" w:eastAsiaTheme="minorEastAsia"/>
          <w:bCs/>
          <w:sz w:val="28"/>
          <w:szCs w:val="28"/>
        </w:rPr>
        <w:drawing>
          <wp:inline distT="0" distB="0" distL="114300" distR="114300">
            <wp:extent cx="4261485" cy="4261485"/>
            <wp:effectExtent l="0" t="0" r="5715" b="5715"/>
            <wp:docPr id="5" name="图片 5" descr="才艺展示_绘画_苏州福纳影视艺术学校_科技与昆曲_陈孜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才艺展示_绘画_苏州福纳影视艺术学校_科技与昆曲_陈孜颖"/>
                    <pic:cNvPicPr>
                      <a:picLocks noChangeAspect="1"/>
                    </pic:cNvPicPr>
                  </pic:nvPicPr>
                  <pic:blipFill>
                    <a:blip r:embed="rId18"/>
                    <a:stretch>
                      <a:fillRect/>
                    </a:stretch>
                  </pic:blipFill>
                  <pic:spPr>
                    <a:xfrm>
                      <a:off x="0" y="0"/>
                      <a:ext cx="4261485" cy="4261485"/>
                    </a:xfrm>
                    <a:prstGeom prst="rect">
                      <a:avLst/>
                    </a:prstGeom>
                  </pic:spPr>
                </pic:pic>
              </a:graphicData>
            </a:graphic>
          </wp:inline>
        </w:drawing>
      </w:r>
    </w:p>
    <w:p>
      <w:pPr>
        <w:pStyle w:val="19"/>
        <w:spacing w:line="360" w:lineRule="auto"/>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bCs/>
          <w:sz w:val="21"/>
          <w:szCs w:val="21"/>
        </w:rPr>
        <w:t>图5：学生作品</w:t>
      </w:r>
      <w:r>
        <w:rPr>
          <w:rFonts w:hint="eastAsia" w:asciiTheme="minorEastAsia" w:hAnsiTheme="minorEastAsia" w:eastAsiaTheme="minorEastAsia"/>
          <w:sz w:val="21"/>
          <w:szCs w:val="21"/>
        </w:rPr>
        <w:t>《科技与昆曲》</w:t>
      </w:r>
    </w:p>
    <w:p>
      <w:pPr>
        <w:pStyle w:val="19"/>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114300" distR="114300">
            <wp:extent cx="4650740" cy="3068320"/>
            <wp:effectExtent l="0" t="0" r="12700" b="10160"/>
            <wp:docPr id="7" name="图片 7" descr="FA3AA202-BDF8-4477-9B84-F1BC206B2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3AA202-BDF8-4477-9B84-F1BC206B21A4"/>
                    <pic:cNvPicPr>
                      <a:picLocks noChangeAspect="1"/>
                    </pic:cNvPicPr>
                  </pic:nvPicPr>
                  <pic:blipFill>
                    <a:blip r:embed="rId19"/>
                    <a:stretch>
                      <a:fillRect/>
                    </a:stretch>
                  </pic:blipFill>
                  <pic:spPr>
                    <a:xfrm>
                      <a:off x="0" y="0"/>
                      <a:ext cx="4650740" cy="3068320"/>
                    </a:xfrm>
                    <a:prstGeom prst="rect">
                      <a:avLst/>
                    </a:prstGeom>
                  </pic:spPr>
                </pic:pic>
              </a:graphicData>
            </a:graphic>
          </wp:inline>
        </w:drawing>
      </w:r>
    </w:p>
    <w:p>
      <w:pPr>
        <w:pStyle w:val="19"/>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sz w:val="21"/>
          <w:szCs w:val="21"/>
        </w:rPr>
        <w:t>图6：学生作品《高举旗帜》</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2022年，学生文化课合格率54.63%，专业技能合格率76%，体制测评合格率74.6%，毕业率99.6%。学校持续深化公共基础课改革，除学生文化课合格率外，体质测评合格率、毕业率等较上一年度均有所提高。</w:t>
      </w:r>
    </w:p>
    <w:p>
      <w:pPr>
        <w:pStyle w:val="19"/>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382895" cy="2303145"/>
            <wp:effectExtent l="4445" t="4445" r="7620" b="889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9"/>
        <w:spacing w:line="360" w:lineRule="auto"/>
        <w:ind w:firstLine="420" w:firstLineChars="200"/>
        <w:jc w:val="center"/>
        <w:rPr>
          <w:rFonts w:asciiTheme="minorEastAsia" w:hAnsiTheme="minorEastAsia" w:eastAsiaTheme="minorEastAsia"/>
          <w:b/>
          <w:sz w:val="28"/>
          <w:szCs w:val="28"/>
        </w:rPr>
      </w:pPr>
      <w:r>
        <w:rPr>
          <w:rFonts w:hint="eastAsia" w:asciiTheme="minorEastAsia" w:hAnsiTheme="minorEastAsia" w:eastAsiaTheme="minorEastAsia"/>
          <w:sz w:val="21"/>
          <w:szCs w:val="21"/>
        </w:rPr>
        <w:t>图7：学生文化基础教育</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2.3在校体验</w:t>
      </w:r>
    </w:p>
    <w:p>
      <w:pPr>
        <w:widowControl w:val="0"/>
        <w:adjustRightInd/>
        <w:snapToGrid/>
        <w:spacing w:after="0" w:line="360" w:lineRule="auto"/>
        <w:ind w:firstLine="560" w:firstLineChars="200"/>
        <w:jc w:val="both"/>
        <w:rPr>
          <w:rFonts w:ascii="宋体" w:hAnsi="宋体" w:eastAsia="宋体" w:cs="Times New Roman"/>
          <w:color w:val="000000"/>
          <w:kern w:val="2"/>
          <w:sz w:val="28"/>
          <w:szCs w:val="28"/>
        </w:rPr>
      </w:pPr>
      <w:r>
        <w:rPr>
          <w:rFonts w:hint="eastAsia" w:ascii="宋体" w:hAnsi="宋体" w:eastAsia="宋体" w:cs="Times New Roman"/>
          <w:color w:val="000000"/>
          <w:kern w:val="2"/>
          <w:sz w:val="28"/>
          <w:szCs w:val="28"/>
        </w:rPr>
        <w:t>学校以学生为关注焦点，每年面向学生开展满意度调查，并召开研讨会、反馈会，不断改进教学和管理工作。通过发放调查问卷，从在校生满意度、课堂育人满意度、教学满意度、专业课教学满意度等进行调查。</w:t>
      </w:r>
    </w:p>
    <w:tbl>
      <w:tblPr>
        <w:tblStyle w:val="15"/>
        <w:tblW w:w="8823" w:type="dxa"/>
        <w:tblInd w:w="91" w:type="dxa"/>
        <w:tblLayout w:type="autofit"/>
        <w:tblCellMar>
          <w:top w:w="0" w:type="dxa"/>
          <w:left w:w="108" w:type="dxa"/>
          <w:bottom w:w="0" w:type="dxa"/>
          <w:right w:w="108" w:type="dxa"/>
        </w:tblCellMar>
      </w:tblPr>
      <w:tblGrid>
        <w:gridCol w:w="733"/>
        <w:gridCol w:w="3395"/>
        <w:gridCol w:w="851"/>
        <w:gridCol w:w="1134"/>
        <w:gridCol w:w="1380"/>
        <w:gridCol w:w="1330"/>
      </w:tblGrid>
      <w:tr>
        <w:tblPrEx>
          <w:tblCellMar>
            <w:top w:w="0" w:type="dxa"/>
            <w:left w:w="108" w:type="dxa"/>
            <w:bottom w:w="0" w:type="dxa"/>
            <w:right w:w="108" w:type="dxa"/>
          </w:tblCellMar>
        </w:tblPrEx>
        <w:trPr>
          <w:trHeight w:val="460" w:hRule="atLeast"/>
        </w:trPr>
        <w:tc>
          <w:tcPr>
            <w:tcW w:w="733" w:type="dxa"/>
            <w:tcBorders>
              <w:top w:val="single" w:color="auto" w:sz="8" w:space="0"/>
              <w:left w:val="single" w:color="auto" w:sz="8" w:space="0"/>
              <w:bottom w:val="single" w:color="auto" w:sz="8" w:space="0"/>
              <w:right w:val="single" w:color="auto" w:sz="8" w:space="0"/>
            </w:tcBorders>
            <w:shd w:val="solid" w:color="EEECE1" w:themeColor="background2"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序号</w:t>
            </w:r>
          </w:p>
        </w:tc>
        <w:tc>
          <w:tcPr>
            <w:tcW w:w="3395" w:type="dxa"/>
            <w:tcBorders>
              <w:top w:val="single" w:color="auto" w:sz="8" w:space="0"/>
              <w:left w:val="nil"/>
              <w:bottom w:val="single" w:color="auto" w:sz="8" w:space="0"/>
              <w:right w:val="single" w:color="auto" w:sz="8" w:space="0"/>
            </w:tcBorders>
            <w:shd w:val="solid" w:color="EEECE1" w:themeColor="background2"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指标</w:t>
            </w:r>
          </w:p>
        </w:tc>
        <w:tc>
          <w:tcPr>
            <w:tcW w:w="851" w:type="dxa"/>
            <w:tcBorders>
              <w:top w:val="single" w:color="auto" w:sz="8" w:space="0"/>
              <w:left w:val="nil"/>
              <w:bottom w:val="single" w:color="auto" w:sz="8" w:space="0"/>
              <w:right w:val="single" w:color="auto" w:sz="8" w:space="0"/>
            </w:tcBorders>
            <w:shd w:val="solid" w:color="EEECE1" w:themeColor="background2"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单位</w:t>
            </w:r>
          </w:p>
        </w:tc>
        <w:tc>
          <w:tcPr>
            <w:tcW w:w="1134" w:type="dxa"/>
            <w:tcBorders>
              <w:top w:val="single" w:color="auto" w:sz="8" w:space="0"/>
              <w:left w:val="nil"/>
              <w:bottom w:val="single" w:color="auto" w:sz="8" w:space="0"/>
              <w:right w:val="single" w:color="auto" w:sz="8" w:space="0"/>
            </w:tcBorders>
            <w:shd w:val="solid" w:color="EEECE1" w:themeColor="background2"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2022年</w:t>
            </w:r>
          </w:p>
        </w:tc>
        <w:tc>
          <w:tcPr>
            <w:tcW w:w="1380" w:type="dxa"/>
            <w:tcBorders>
              <w:top w:val="single" w:color="auto" w:sz="8" w:space="0"/>
              <w:left w:val="nil"/>
              <w:bottom w:val="single" w:color="auto" w:sz="8" w:space="0"/>
              <w:right w:val="single" w:color="auto" w:sz="8" w:space="0"/>
            </w:tcBorders>
            <w:shd w:val="solid" w:color="EEECE1" w:themeColor="background2"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调查人次</w:t>
            </w:r>
          </w:p>
        </w:tc>
        <w:tc>
          <w:tcPr>
            <w:tcW w:w="1330" w:type="dxa"/>
            <w:tcBorders>
              <w:top w:val="single" w:color="auto" w:sz="8" w:space="0"/>
              <w:left w:val="nil"/>
              <w:bottom w:val="single" w:color="auto" w:sz="8" w:space="0"/>
              <w:right w:val="single" w:color="auto" w:sz="8" w:space="0"/>
            </w:tcBorders>
            <w:shd w:val="solid" w:color="EEECE1" w:themeColor="background2"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调查方式</w:t>
            </w:r>
          </w:p>
        </w:tc>
      </w:tr>
      <w:tr>
        <w:tblPrEx>
          <w:tblCellMar>
            <w:top w:w="0" w:type="dxa"/>
            <w:left w:w="108" w:type="dxa"/>
            <w:bottom w:w="0" w:type="dxa"/>
            <w:right w:w="108" w:type="dxa"/>
          </w:tblCellMar>
        </w:tblPrEx>
        <w:trPr>
          <w:trHeight w:val="460" w:hRule="atLeast"/>
        </w:trPr>
        <w:tc>
          <w:tcPr>
            <w:tcW w:w="733" w:type="dxa"/>
            <w:tcBorders>
              <w:top w:val="nil"/>
              <w:left w:val="single" w:color="auto" w:sz="8" w:space="0"/>
              <w:bottom w:val="single" w:color="auto" w:sz="4"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339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在校生满意度</w:t>
            </w:r>
          </w:p>
        </w:tc>
        <w:tc>
          <w:tcPr>
            <w:tcW w:w="851"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1134"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94</w:t>
            </w:r>
          </w:p>
        </w:tc>
        <w:tc>
          <w:tcPr>
            <w:tcW w:w="138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133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调查问卷</w:t>
            </w:r>
          </w:p>
        </w:tc>
      </w:tr>
      <w:tr>
        <w:tblPrEx>
          <w:tblCellMar>
            <w:top w:w="0" w:type="dxa"/>
            <w:left w:w="108" w:type="dxa"/>
            <w:bottom w:w="0" w:type="dxa"/>
            <w:right w:w="108" w:type="dxa"/>
          </w:tblCellMar>
        </w:tblPrEx>
        <w:trPr>
          <w:trHeight w:val="460" w:hRule="atLeast"/>
        </w:trPr>
        <w:tc>
          <w:tcPr>
            <w:tcW w:w="733" w:type="dxa"/>
            <w:tcBorders>
              <w:top w:val="single" w:color="auto" w:sz="4" w:space="0"/>
              <w:left w:val="single" w:color="auto" w:sz="8"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3395" w:type="dxa"/>
            <w:tcBorders>
              <w:top w:val="nil"/>
              <w:left w:val="single" w:color="auto" w:sz="4" w:space="0"/>
              <w:bottom w:val="single" w:color="auto" w:sz="8" w:space="0"/>
              <w:right w:val="single" w:color="auto" w:sz="8" w:space="0"/>
            </w:tcBorders>
            <w:shd w:val="clear" w:color="auto" w:fill="auto"/>
            <w:vAlign w:val="center"/>
          </w:tcPr>
          <w:p>
            <w:pPr>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其中：课堂育人满意度</w:t>
            </w:r>
          </w:p>
        </w:tc>
        <w:tc>
          <w:tcPr>
            <w:tcW w:w="851"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1134"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95</w:t>
            </w:r>
          </w:p>
        </w:tc>
        <w:tc>
          <w:tcPr>
            <w:tcW w:w="138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133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调查问卷</w:t>
            </w:r>
          </w:p>
        </w:tc>
      </w:tr>
      <w:tr>
        <w:tblPrEx>
          <w:tblCellMar>
            <w:top w:w="0" w:type="dxa"/>
            <w:left w:w="108" w:type="dxa"/>
            <w:bottom w:w="0" w:type="dxa"/>
            <w:right w:w="108" w:type="dxa"/>
          </w:tblCellMar>
        </w:tblPrEx>
        <w:trPr>
          <w:trHeight w:val="498" w:hRule="atLeast"/>
        </w:trPr>
        <w:tc>
          <w:tcPr>
            <w:tcW w:w="733" w:type="dxa"/>
            <w:tcBorders>
              <w:top w:val="single" w:color="auto" w:sz="4" w:space="0"/>
              <w:left w:val="single" w:color="auto" w:sz="8" w:space="0"/>
              <w:bottom w:val="single" w:color="auto" w:sz="4" w:space="0"/>
              <w:right w:val="single" w:color="auto" w:sz="8"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339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 xml:space="preserve">      课外育人满意度</w:t>
            </w:r>
          </w:p>
        </w:tc>
        <w:tc>
          <w:tcPr>
            <w:tcW w:w="851"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1134"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92</w:t>
            </w:r>
          </w:p>
        </w:tc>
        <w:tc>
          <w:tcPr>
            <w:tcW w:w="138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133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调查问卷</w:t>
            </w:r>
          </w:p>
        </w:tc>
      </w:tr>
      <w:tr>
        <w:tblPrEx>
          <w:tblCellMar>
            <w:top w:w="0" w:type="dxa"/>
            <w:left w:w="108" w:type="dxa"/>
            <w:bottom w:w="0" w:type="dxa"/>
            <w:right w:w="108" w:type="dxa"/>
          </w:tblCellMar>
        </w:tblPrEx>
        <w:trPr>
          <w:trHeight w:val="460" w:hRule="atLeast"/>
        </w:trPr>
        <w:tc>
          <w:tcPr>
            <w:tcW w:w="733" w:type="dxa"/>
            <w:tcBorders>
              <w:top w:val="single" w:color="auto" w:sz="4" w:space="0"/>
              <w:left w:val="single" w:color="auto" w:sz="8" w:space="0"/>
              <w:bottom w:val="single" w:color="auto" w:sz="4" w:space="0"/>
              <w:right w:val="single" w:color="auto" w:sz="8"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339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 xml:space="preserve">      思想政治课教学满意度</w:t>
            </w:r>
          </w:p>
        </w:tc>
        <w:tc>
          <w:tcPr>
            <w:tcW w:w="851"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1134"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93</w:t>
            </w:r>
          </w:p>
        </w:tc>
        <w:tc>
          <w:tcPr>
            <w:tcW w:w="138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133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调查问卷</w:t>
            </w:r>
          </w:p>
        </w:tc>
      </w:tr>
      <w:tr>
        <w:tblPrEx>
          <w:tblCellMar>
            <w:top w:w="0" w:type="dxa"/>
            <w:left w:w="108" w:type="dxa"/>
            <w:bottom w:w="0" w:type="dxa"/>
            <w:right w:w="108" w:type="dxa"/>
          </w:tblCellMar>
        </w:tblPrEx>
        <w:trPr>
          <w:trHeight w:val="460" w:hRule="atLeast"/>
        </w:trPr>
        <w:tc>
          <w:tcPr>
            <w:tcW w:w="733" w:type="dxa"/>
            <w:tcBorders>
              <w:top w:val="single" w:color="auto" w:sz="4" w:space="0"/>
              <w:left w:val="single" w:color="auto" w:sz="8" w:space="0"/>
              <w:bottom w:val="single" w:color="auto" w:sz="4" w:space="0"/>
              <w:right w:val="single" w:color="auto" w:sz="8"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339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 xml:space="preserve">      公共基础课（不含思想政治课）教学满意度</w:t>
            </w:r>
          </w:p>
        </w:tc>
        <w:tc>
          <w:tcPr>
            <w:tcW w:w="851"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1134"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93</w:t>
            </w:r>
          </w:p>
        </w:tc>
        <w:tc>
          <w:tcPr>
            <w:tcW w:w="138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133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调查问卷</w:t>
            </w:r>
          </w:p>
        </w:tc>
      </w:tr>
      <w:tr>
        <w:trPr>
          <w:trHeight w:val="460" w:hRule="atLeast"/>
        </w:trPr>
        <w:tc>
          <w:tcPr>
            <w:tcW w:w="733" w:type="dxa"/>
            <w:tcBorders>
              <w:top w:val="single" w:color="auto" w:sz="4" w:space="0"/>
              <w:left w:val="single" w:color="auto" w:sz="8" w:space="0"/>
              <w:bottom w:val="single" w:color="000000" w:sz="8" w:space="0"/>
              <w:right w:val="single" w:color="auto" w:sz="8"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3395" w:type="dxa"/>
            <w:tcBorders>
              <w:top w:val="nil"/>
              <w:left w:val="nil"/>
              <w:bottom w:val="single" w:color="auto" w:sz="8" w:space="0"/>
              <w:right w:val="single" w:color="auto" w:sz="8" w:space="0"/>
            </w:tcBorders>
            <w:shd w:val="clear" w:color="auto" w:fill="auto"/>
            <w:vAlign w:val="center"/>
          </w:tcPr>
          <w:p>
            <w:pPr>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 xml:space="preserve">      专业课教学满意度</w:t>
            </w:r>
          </w:p>
        </w:tc>
        <w:tc>
          <w:tcPr>
            <w:tcW w:w="851"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1134"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95</w:t>
            </w:r>
          </w:p>
        </w:tc>
        <w:tc>
          <w:tcPr>
            <w:tcW w:w="138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1330"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调查问卷</w:t>
            </w:r>
          </w:p>
        </w:tc>
      </w:tr>
    </w:tbl>
    <w:p>
      <w:pPr>
        <w:pStyle w:val="19"/>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表4：满意度调查表</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2.4就业质量</w:t>
      </w:r>
    </w:p>
    <w:p>
      <w:pPr>
        <w:widowControl w:val="0"/>
        <w:adjustRightInd/>
        <w:snapToGrid/>
        <w:spacing w:after="0" w:line="360" w:lineRule="auto"/>
        <w:ind w:firstLine="560" w:firstLineChars="200"/>
        <w:jc w:val="both"/>
        <w:rPr>
          <w:rFonts w:ascii="宋体" w:hAnsi="宋体" w:eastAsia="宋体" w:cs="Times New Roman"/>
          <w:kern w:val="2"/>
          <w:sz w:val="28"/>
          <w:szCs w:val="28"/>
        </w:rPr>
      </w:pPr>
      <w:r>
        <w:rPr>
          <w:rFonts w:hint="eastAsia" w:ascii="宋体" w:hAnsi="宋体" w:eastAsia="宋体" w:cs="Times New Roman"/>
          <w:bCs/>
          <w:kern w:val="2"/>
          <w:sz w:val="28"/>
          <w:szCs w:val="28"/>
        </w:rPr>
        <w:t>学校通过平台搭建、信息指导等方式，依据学生的专业、特长、就业愿望，结合产业人才需求开拓学生就业渠道，确保学生较高就业质量。</w:t>
      </w:r>
      <w:r>
        <w:rPr>
          <w:rFonts w:hint="eastAsia" w:ascii="宋体" w:hAnsi="宋体" w:eastAsia="宋体" w:cs="Times New Roman"/>
          <w:kern w:val="2"/>
          <w:sz w:val="28"/>
          <w:szCs w:val="28"/>
        </w:rPr>
        <w:t>2022年就业（含升学）人数732人，比上一年减少9人；毕业生专业对口就业人数7人，比上一年减少179人；毕业生服务第三产业人数为5人，比上一年减少181人；毕业生就业满意度为95%；用人单位满意度为94%。</w:t>
      </w:r>
    </w:p>
    <w:p>
      <w:pPr>
        <w:widowControl w:val="0"/>
        <w:adjustRightInd/>
        <w:snapToGrid/>
        <w:spacing w:after="0" w:line="360" w:lineRule="auto"/>
        <w:jc w:val="center"/>
        <w:rPr>
          <w:rFonts w:ascii="宋体" w:hAnsi="宋体" w:eastAsia="宋体" w:cs="Times New Roman"/>
          <w:kern w:val="2"/>
          <w:sz w:val="28"/>
          <w:szCs w:val="28"/>
        </w:rPr>
      </w:pPr>
      <w:r>
        <w:rPr>
          <w:rFonts w:ascii="宋体" w:hAnsi="宋体" w:eastAsia="宋体" w:cs="Times New Roman"/>
          <w:kern w:val="2"/>
          <w:sz w:val="28"/>
          <w:szCs w:val="28"/>
        </w:rPr>
        <w:drawing>
          <wp:inline distT="0" distB="0" distL="0" distR="0">
            <wp:extent cx="4856480" cy="1953895"/>
            <wp:effectExtent l="12700" t="12700" r="22860"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9"/>
        <w:spacing w:line="360" w:lineRule="auto"/>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图8：毕业生就业质量</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2.5创新创业</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学校高度重视创新创业工作，成立创新创业教育领导小组，统筹协调学校的创新创业教育工作，领导、组织、协调和指导学生的创新创业活动。</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1.修订人才培养方案，完善人才培养质量标准。全面贯彻创新创业教育理念，把学生创新创业和实践能力的培养融入人才培养全过程，落实到教育教学各环节。</w:t>
      </w:r>
    </w:p>
    <w:p>
      <w:pPr>
        <w:spacing w:after="0" w:line="360" w:lineRule="auto"/>
        <w:ind w:firstLine="560" w:firstLineChars="200"/>
        <w:jc w:val="both"/>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.面向学生开设创新创业教育类课程。创新创业教育要与就业指导教育有机结合、与学生职业生涯规划相结合，通过开设此类课程，使学生初步了解创新创业的基本知识、途径，培养学生创新创业的意识。</w:t>
      </w:r>
    </w:p>
    <w:p>
      <w:pPr>
        <w:spacing w:after="0" w:line="360" w:lineRule="auto"/>
        <w:ind w:firstLine="560" w:firstLineChars="200"/>
        <w:jc w:val="both"/>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.开展校内“我有一个金点子”征集活动。在金点子征集过程中，共征集到金点子近十条，不仅</w:t>
      </w:r>
      <w:r>
        <w:rPr>
          <w:rFonts w:asciiTheme="minorEastAsia" w:hAnsiTheme="minorEastAsia" w:eastAsiaTheme="minorEastAsia"/>
          <w:sz w:val="28"/>
          <w:szCs w:val="28"/>
        </w:rPr>
        <w:t>营造创新创业氛围，</w:t>
      </w:r>
      <w:r>
        <w:rPr>
          <w:rFonts w:hint="eastAsia" w:asciiTheme="minorEastAsia" w:hAnsiTheme="minorEastAsia" w:eastAsiaTheme="minorEastAsia"/>
          <w:sz w:val="28"/>
          <w:szCs w:val="28"/>
        </w:rPr>
        <w:t>极大地促进了创新创业工作在学生中的开展。</w:t>
      </w:r>
    </w:p>
    <w:p>
      <w:pPr>
        <w:spacing w:after="0" w:line="360" w:lineRule="auto"/>
        <w:ind w:firstLine="560" w:firstLineChars="200"/>
        <w:jc w:val="both"/>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.倡导学生积极参加创新创业大赛。通过参加比赛，</w:t>
      </w:r>
      <w:r>
        <w:rPr>
          <w:rFonts w:asciiTheme="minorEastAsia" w:hAnsiTheme="minorEastAsia" w:eastAsiaTheme="minorEastAsia"/>
          <w:sz w:val="28"/>
          <w:szCs w:val="28"/>
        </w:rPr>
        <w:t>激发学生创新创业的热情，在</w:t>
      </w:r>
      <w:r>
        <w:rPr>
          <w:rFonts w:hint="eastAsia" w:asciiTheme="minorEastAsia" w:hAnsiTheme="minorEastAsia" w:eastAsiaTheme="minorEastAsia"/>
          <w:sz w:val="28"/>
          <w:szCs w:val="28"/>
        </w:rPr>
        <w:t>积累比赛经验的基础上，</w:t>
      </w:r>
      <w:r>
        <w:rPr>
          <w:rFonts w:asciiTheme="minorEastAsia" w:hAnsiTheme="minorEastAsia" w:eastAsiaTheme="minorEastAsia"/>
          <w:sz w:val="28"/>
          <w:szCs w:val="28"/>
        </w:rPr>
        <w:t>提升创新创业水平。</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5.倡导学生积极参加创新创业大赛，</w:t>
      </w:r>
      <w:r>
        <w:rPr>
          <w:rFonts w:asciiTheme="minorEastAsia" w:hAnsiTheme="minorEastAsia" w:eastAsiaTheme="minorEastAsia"/>
          <w:sz w:val="28"/>
          <w:szCs w:val="28"/>
        </w:rPr>
        <w:t>激发创新创业的热情，</w:t>
      </w:r>
      <w:r>
        <w:rPr>
          <w:rFonts w:hint="eastAsia" w:asciiTheme="minorEastAsia" w:hAnsiTheme="minorEastAsia" w:eastAsiaTheme="minorEastAsia"/>
          <w:sz w:val="28"/>
          <w:szCs w:val="28"/>
        </w:rPr>
        <w:t>积累比赛经验，</w:t>
      </w:r>
      <w:r>
        <w:rPr>
          <w:rFonts w:asciiTheme="minorEastAsia" w:hAnsiTheme="minorEastAsia" w:eastAsiaTheme="minorEastAsia"/>
          <w:sz w:val="28"/>
          <w:szCs w:val="28"/>
        </w:rPr>
        <w:t>提升创新创业水平。</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2.6技能大赛</w:t>
      </w:r>
      <w:r>
        <w:rPr>
          <w:rFonts w:hint="eastAsia" w:asciiTheme="minorEastAsia" w:hAnsiTheme="minorEastAsia" w:eastAsiaTheme="minorEastAsia"/>
          <w:b/>
          <w:sz w:val="28"/>
          <w:szCs w:val="28"/>
        </w:rPr>
        <w:tab/>
      </w:r>
    </w:p>
    <w:p>
      <w:pPr>
        <w:pStyle w:val="19"/>
        <w:spacing w:line="36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学校始终坚持“以赛代练，以赛促训，突出技能，展示风采”的主题，突出学生知识面拓展，以实现提高技能水平的目标。</w:t>
      </w:r>
    </w:p>
    <w:p>
      <w:pPr>
        <w:pStyle w:val="19"/>
        <w:spacing w:line="36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学校成立技能大赛工作小组，明确责任，落实目标。校长担任组长，主管副校长和教学管理部门深入一线检查指导，与大赛辅导教师、参赛学生谈心，鼓励师生认真训练，精心备赛。前期做到层层选拔，好中选优，优中选强，真正实现人才培养、质量的全面提升和人才培养模式的改变。在加大实训课教学的同时，开展实训课讲赛活动。最后，深入研究技能大赛规程方案和试题规程，做到“知己知彼”；结合训练情况，安排校级模拟竞赛。</w:t>
      </w:r>
    </w:p>
    <w:p>
      <w:pPr>
        <w:pStyle w:val="19"/>
        <w:spacing w:line="36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学校以文化艺术类和旅游服务类为主要参赛项目,在昆山市技能大赛中，获得文化艺术类项目（学生组）二等奖3名，获得旅游服务类项目（学生组）一等奖1名，二等奖2名 ；在苏州市技能大赛中，获得文化艺术类项目（学生组）三等奖3名，获得文化艺术类项目（教师组）三等奖1名。学校需要不断加强专业课程改革、教学模式创新，以入围省赛为目标，把技能大赛工作做细做好做强。</w:t>
      </w:r>
    </w:p>
    <w:p>
      <w:pPr>
        <w:pStyle w:val="19"/>
        <w:spacing w:line="360" w:lineRule="auto"/>
        <w:ind w:firstLine="560" w:firstLineChars="200"/>
        <w:jc w:val="both"/>
        <w:rPr>
          <w:rFonts w:hint="eastAsia" w:ascii="楷体" w:hAnsi="楷体" w:eastAsia="楷体" w:cs="楷体"/>
          <w:sz w:val="28"/>
          <w:szCs w:val="28"/>
          <w:lang w:eastAsia="zh-CN"/>
        </w:rPr>
      </w:pPr>
      <w:r>
        <w:rPr>
          <w:rFonts w:hint="eastAsia" w:ascii="楷体" w:hAnsi="楷体" w:eastAsia="楷体" w:cs="楷体"/>
          <w:sz w:val="28"/>
          <w:szCs w:val="28"/>
        </w:rPr>
        <w:t>学校充分利用职业学校各项大赛强有力的导向作用，引导学校参赛教师朝着竞赛目标前进。通过竞赛目标、竞赛标准等引导参赛教师在教育教学工作中做什么、怎么做，影响着教育教学工作的各个方面；另一方面，通过竞赛，获得有关教育教学活动满足社会需求程度的信息反馈，以改善和调节学校教育目标、课程和教材、教师的教与学生的学等过程，通过了解自己本身教学工作中的长短、功过，明确今后的努力方向和改进措施。事实证明，竞赛与专业教师教学之间是相互促进，不可分割的。</w:t>
      </w:r>
    </w:p>
    <w:p>
      <w:pPr>
        <w:pStyle w:val="19"/>
        <w:spacing w:line="360" w:lineRule="auto"/>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4754880" cy="2645410"/>
            <wp:effectExtent l="0" t="0" r="0" b="6350"/>
            <wp:docPr id="13" name="图片 13" descr="1730302609-72649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0302609-726494261"/>
                    <pic:cNvPicPr>
                      <a:picLocks noChangeAspect="1"/>
                    </pic:cNvPicPr>
                  </pic:nvPicPr>
                  <pic:blipFill>
                    <a:blip r:embed="rId22"/>
                    <a:srcRect t="5939" r="-120" b="7252"/>
                    <a:stretch>
                      <a:fillRect/>
                    </a:stretch>
                  </pic:blipFill>
                  <pic:spPr>
                    <a:xfrm>
                      <a:off x="0" y="0"/>
                      <a:ext cx="4754880" cy="2645410"/>
                    </a:xfrm>
                    <a:prstGeom prst="rect">
                      <a:avLst/>
                    </a:prstGeom>
                  </pic:spPr>
                </pic:pic>
              </a:graphicData>
            </a:graphic>
          </wp:inline>
        </w:drawing>
      </w:r>
    </w:p>
    <w:p>
      <w:pPr>
        <w:pStyle w:val="19"/>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图9：学生参加技能大赛</w:t>
      </w:r>
    </w:p>
    <w:p>
      <w:pPr>
        <w:pStyle w:val="19"/>
        <w:spacing w:line="360" w:lineRule="auto"/>
        <w:jc w:val="center"/>
        <w:rPr>
          <w:rFonts w:hint="eastAsia" w:ascii="楷体" w:hAnsi="楷体" w:eastAsia="楷体" w:cs="楷体"/>
          <w:sz w:val="28"/>
          <w:szCs w:val="28"/>
          <w:lang w:eastAsia="zh-CN"/>
        </w:rPr>
      </w:pPr>
    </w:p>
    <w:tbl>
      <w:tblPr>
        <w:tblStyle w:val="15"/>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34"/>
        <w:gridCol w:w="5103"/>
        <w:gridCol w:w="993"/>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solid" w:color="DDD9C4" w:themeColor="background2" w:themeShade="E6"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134" w:type="dxa"/>
            <w:shd w:val="solid" w:color="DDD9C4" w:themeColor="background2" w:themeShade="E6"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姓名</w:t>
            </w:r>
          </w:p>
        </w:tc>
        <w:tc>
          <w:tcPr>
            <w:tcW w:w="5103" w:type="dxa"/>
            <w:shd w:val="solid" w:color="DDD9C4" w:themeColor="background2" w:themeShade="E6"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奖项</w:t>
            </w:r>
          </w:p>
        </w:tc>
        <w:tc>
          <w:tcPr>
            <w:tcW w:w="993" w:type="dxa"/>
            <w:shd w:val="solid" w:color="DDD9C4" w:themeColor="background2" w:themeShade="E6"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级别</w:t>
            </w:r>
          </w:p>
        </w:tc>
        <w:tc>
          <w:tcPr>
            <w:tcW w:w="929" w:type="dxa"/>
            <w:shd w:val="solid" w:color="DDD9C4" w:themeColor="background2" w:themeShade="E6" w:fill="auto"/>
            <w:noWrap/>
            <w:vAlign w:val="center"/>
          </w:tcPr>
          <w:p>
            <w:pPr>
              <w:pStyle w:val="7"/>
              <w:bidi w:val="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1</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薛翊欣</w:t>
            </w:r>
          </w:p>
        </w:tc>
        <w:tc>
          <w:tcPr>
            <w:tcW w:w="5103" w:type="dxa"/>
            <w:shd w:val="clear" w:color="auto" w:fill="auto"/>
            <w:noWrap/>
            <w:vAlign w:val="center"/>
          </w:tcPr>
          <w:p>
            <w:pPr>
              <w:pStyle w:val="7"/>
              <w:bidi w:val="0"/>
              <w:rPr>
                <w:rFonts w:hint="eastAsia" w:ascii="宋体" w:hAnsi="宋体" w:eastAsia="宋体" w:cs="宋体"/>
                <w:b w:val="0"/>
                <w:bCs/>
                <w:sz w:val="21"/>
                <w:szCs w:val="21"/>
              </w:rPr>
            </w:pPr>
            <w:r>
              <w:rPr>
                <w:rFonts w:hint="eastAsia" w:ascii="宋体" w:hAnsi="宋体" w:eastAsia="宋体" w:cs="宋体"/>
                <w:b w:val="0"/>
                <w:bCs/>
                <w:sz w:val="21"/>
                <w:szCs w:val="21"/>
              </w:rPr>
              <w:t>2021年昆山市技能大赛</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艺术设计</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昆山市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2</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薛祎琪</w:t>
            </w:r>
          </w:p>
        </w:tc>
        <w:tc>
          <w:tcPr>
            <w:tcW w:w="5103" w:type="dxa"/>
            <w:shd w:val="clear" w:color="auto" w:fill="auto"/>
            <w:noWrap/>
            <w:vAlign w:val="center"/>
          </w:tcPr>
          <w:p>
            <w:pPr>
              <w:pStyle w:val="7"/>
              <w:bidi w:val="0"/>
              <w:rPr>
                <w:rFonts w:hint="eastAsia" w:ascii="宋体" w:hAnsi="宋体" w:eastAsia="宋体" w:cs="宋体"/>
                <w:b w:val="0"/>
                <w:bCs/>
                <w:sz w:val="21"/>
                <w:szCs w:val="21"/>
              </w:rPr>
            </w:pPr>
            <w:r>
              <w:rPr>
                <w:rFonts w:hint="eastAsia" w:ascii="宋体" w:hAnsi="宋体" w:eastAsia="宋体" w:cs="宋体"/>
                <w:b w:val="0"/>
                <w:bCs/>
                <w:sz w:val="21"/>
                <w:szCs w:val="21"/>
              </w:rPr>
              <w:t>2021年昆山市技能大赛</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声乐</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昆山市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马若轩</w:t>
            </w:r>
          </w:p>
        </w:tc>
        <w:tc>
          <w:tcPr>
            <w:tcW w:w="5103" w:type="dxa"/>
            <w:shd w:val="clear" w:color="auto" w:fill="auto"/>
            <w:noWrap/>
            <w:vAlign w:val="center"/>
          </w:tcPr>
          <w:p>
            <w:pPr>
              <w:pStyle w:val="7"/>
              <w:bidi w:val="0"/>
              <w:rPr>
                <w:rFonts w:hint="eastAsia" w:ascii="宋体" w:hAnsi="宋体" w:eastAsia="宋体" w:cs="宋体"/>
                <w:b w:val="0"/>
                <w:bCs/>
                <w:sz w:val="21"/>
                <w:szCs w:val="21"/>
              </w:rPr>
            </w:pPr>
            <w:r>
              <w:rPr>
                <w:rFonts w:hint="eastAsia" w:ascii="宋体" w:hAnsi="宋体" w:eastAsia="宋体" w:cs="宋体"/>
                <w:b w:val="0"/>
                <w:bCs/>
                <w:sz w:val="21"/>
                <w:szCs w:val="21"/>
              </w:rPr>
              <w:t>2021年昆山市技能大赛</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器乐</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昆山市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盛旸恺</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2021年昆山市技能大赛</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旅游服务</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一等奖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昆山市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rPr>
              <w:t>夏阳</w:t>
            </w:r>
          </w:p>
        </w:tc>
        <w:tc>
          <w:tcPr>
            <w:tcW w:w="5103" w:type="dxa"/>
            <w:shd w:val="clear" w:color="auto" w:fill="auto"/>
            <w:noWrap/>
            <w:vAlign w:val="center"/>
          </w:tcPr>
          <w:p>
            <w:pPr>
              <w:pStyle w:val="7"/>
              <w:bidi w:val="0"/>
              <w:rPr>
                <w:rFonts w:hint="eastAsia" w:ascii="宋体" w:hAnsi="宋体" w:eastAsia="宋体" w:cs="宋体"/>
                <w:b w:val="0"/>
                <w:bCs/>
                <w:sz w:val="21"/>
                <w:szCs w:val="21"/>
              </w:rPr>
            </w:pPr>
            <w:r>
              <w:rPr>
                <w:rFonts w:hint="eastAsia" w:ascii="宋体" w:hAnsi="宋体" w:eastAsia="宋体" w:cs="宋体"/>
                <w:b w:val="0"/>
                <w:bCs/>
                <w:sz w:val="21"/>
                <w:szCs w:val="21"/>
              </w:rPr>
              <w:t>2021年昆山市技能大赛</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旅游服务</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昆山市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张召慧</w:t>
            </w:r>
          </w:p>
        </w:tc>
        <w:tc>
          <w:tcPr>
            <w:tcW w:w="5103" w:type="dxa"/>
            <w:shd w:val="clear" w:color="auto" w:fill="auto"/>
            <w:noWrap/>
            <w:vAlign w:val="center"/>
          </w:tcPr>
          <w:p>
            <w:pPr>
              <w:pStyle w:val="7"/>
              <w:bidi w:val="0"/>
              <w:rPr>
                <w:rFonts w:hint="eastAsia" w:ascii="宋体" w:hAnsi="宋体" w:eastAsia="宋体" w:cs="宋体"/>
                <w:b w:val="0"/>
                <w:bCs/>
                <w:sz w:val="21"/>
                <w:szCs w:val="21"/>
              </w:rPr>
            </w:pPr>
            <w:r>
              <w:rPr>
                <w:rFonts w:hint="eastAsia" w:ascii="宋体" w:hAnsi="宋体" w:eastAsia="宋体" w:cs="宋体"/>
                <w:b w:val="0"/>
                <w:bCs/>
                <w:sz w:val="21"/>
                <w:szCs w:val="21"/>
              </w:rPr>
              <w:t>2021年昆山市技能大赛</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旅游服务</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昆山市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崔彤</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2021年苏州市职业学校技能大赛（舞蹈表演）三等奖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乔子纯</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2021年苏州市职业学校技能大赛（声乐表演）二等奖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邢鹏</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2021年苏州市职业学校技能大赛（声乐表演）二等奖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1134" w:type="dxa"/>
            <w:tcBorders>
              <w:bottom w:val="single" w:color="auto" w:sz="4" w:space="0"/>
            </w:tcBorders>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朱静</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2021年第十六届技能大赛旅游服务类——导游项目“优秀指导教师”</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邢鹏</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2022年“苏物杯”文化艺术类技能大赛——声乐项目三等奖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马若轩</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2021年苏州市职业学校技能大赛（乐器表演）三等奖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shd w:val="clear" w:color="auto" w:fill="auto"/>
            <w:noWrap/>
            <w:vAlign w:val="center"/>
          </w:tcPr>
          <w:p>
            <w:pPr>
              <w:pStyle w:val="7"/>
              <w:bidi w:val="0"/>
              <w:jc w:val="center"/>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1134"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薛祎琪</w:t>
            </w:r>
          </w:p>
        </w:tc>
        <w:tc>
          <w:tcPr>
            <w:tcW w:w="5103" w:type="dxa"/>
            <w:shd w:val="clear" w:color="auto" w:fill="auto"/>
            <w:noWrap/>
            <w:vAlign w:val="center"/>
          </w:tcPr>
          <w:p>
            <w:pPr>
              <w:pStyle w:val="7"/>
              <w:bidi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2021年苏州市职业学校技能大赛（声乐表演）三等奖</w:t>
            </w:r>
          </w:p>
        </w:tc>
        <w:tc>
          <w:tcPr>
            <w:tcW w:w="993"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苏州市</w:t>
            </w:r>
          </w:p>
        </w:tc>
        <w:tc>
          <w:tcPr>
            <w:tcW w:w="929" w:type="dxa"/>
            <w:shd w:val="clear" w:color="auto" w:fill="auto"/>
            <w:noWrap/>
            <w:vAlign w:val="center"/>
          </w:tcPr>
          <w:p>
            <w:pPr>
              <w:pStyle w:val="7"/>
              <w:bidi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w:t>
            </w:r>
          </w:p>
        </w:tc>
      </w:tr>
    </w:tbl>
    <w:p>
      <w:pPr>
        <w:pStyle w:val="19"/>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sz w:val="21"/>
          <w:szCs w:val="21"/>
          <w:lang w:val="en-US" w:eastAsia="zh-CN"/>
        </w:rPr>
        <w:t>表5：2022年技能大赛师生获奖情况</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2.7升学情况</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2022年，学校共有725名学生进入高一级学校学习，占毕业生总人数的99.04%。其中，职教高考升学数685人，其他升学数40人。</w:t>
      </w:r>
    </w:p>
    <w:p>
      <w:pPr>
        <w:pStyle w:val="19"/>
        <w:spacing w:line="360" w:lineRule="auto"/>
        <w:jc w:val="both"/>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349240" cy="2667000"/>
            <wp:effectExtent l="4445" t="4445" r="10795" b="1079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9"/>
        <w:spacing w:line="360" w:lineRule="auto"/>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图10：毕业生升学情况</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3.教育教学质量</w:t>
      </w:r>
      <w:r>
        <w:rPr>
          <w:rFonts w:hint="eastAsia" w:asciiTheme="minorEastAsia" w:hAnsiTheme="minorEastAsia" w:eastAsiaTheme="minorEastAsia"/>
          <w:b/>
          <w:sz w:val="28"/>
          <w:szCs w:val="28"/>
        </w:rPr>
        <w:tab/>
      </w:r>
    </w:p>
    <w:p>
      <w:pPr>
        <w:pStyle w:val="19"/>
        <w:spacing w:line="360" w:lineRule="auto"/>
        <w:ind w:firstLine="562" w:firstLineChars="200"/>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3.1专业建设质量</w:t>
      </w:r>
      <w:r>
        <w:rPr>
          <w:rFonts w:hint="eastAsia" w:asciiTheme="minorEastAsia" w:hAnsiTheme="minorEastAsia" w:eastAsiaTheme="minorEastAsia"/>
          <w:sz w:val="28"/>
          <w:szCs w:val="28"/>
        </w:rPr>
        <w:tab/>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学校深入开展区域行业发展现状、趋势和技术技能人才需求调研，结合地方区域经济发展需要，设有戏剧表演、音乐表演、航空服务、动漫与游戏制作、城市轨道交通运营服务、旅游服务与管理、物流服务与管理、商务英语、市场营销、计算机应用、舞蹈表演、广播电视节目制作12个专业。根据《职业院校专业人才培养方案（中职）制订与实施工作的指导意见》文件精神，合理制定适合各专业实施性专业人才培养方案，开设课程总量达88门 。</w:t>
      </w:r>
    </w:p>
    <w:p>
      <w:pPr>
        <w:pStyle w:val="19"/>
        <w:spacing w:line="360" w:lineRule="auto"/>
        <w:ind w:firstLine="560" w:firstLineChars="200"/>
        <w:jc w:val="both"/>
        <w:rPr>
          <w:rStyle w:val="17"/>
          <w:rFonts w:hint="eastAsia" w:ascii="宋体" w:hAnsi="宋体" w:eastAsia="宋体" w:cs="宋体"/>
          <w:b/>
          <w:bCs/>
          <w:sz w:val="28"/>
          <w:szCs w:val="28"/>
        </w:rPr>
      </w:pPr>
      <w:r>
        <w:rPr>
          <w:rFonts w:hint="eastAsia" w:asciiTheme="minorEastAsia" w:hAnsiTheme="minorEastAsia" w:eastAsiaTheme="minorEastAsia"/>
          <w:sz w:val="28"/>
          <w:szCs w:val="28"/>
        </w:rPr>
        <w:t>学校始终围绕社会公共服务和文化艺术两大方向，不断优化专业结构，势必将戏剧表演、广播电视节目制作、动漫与游戏制作专业打造成学校特色专业。</w:t>
      </w:r>
    </w:p>
    <w:p>
      <w:pPr>
        <w:pStyle w:val="19"/>
        <w:keepNext w:val="0"/>
        <w:keepLines w:val="0"/>
        <w:pageBreakBefore w:val="0"/>
        <w:widowControl/>
        <w:kinsoku/>
        <w:wordWrap/>
        <w:overflowPunct/>
        <w:topLinePunct w:val="0"/>
        <w:autoSpaceDE/>
        <w:autoSpaceDN/>
        <w:bidi w:val="0"/>
        <w:adjustRightInd w:val="0"/>
        <w:snapToGrid w:val="0"/>
        <w:spacing w:line="360" w:lineRule="auto"/>
        <w:ind w:firstLine="562" w:firstLineChars="200"/>
        <w:textAlignment w:val="auto"/>
        <w:rPr>
          <w:rStyle w:val="17"/>
          <w:rFonts w:hint="eastAsia" w:ascii="宋体" w:hAnsi="宋体" w:eastAsia="宋体" w:cs="宋体"/>
          <w:b/>
          <w:bCs/>
          <w:sz w:val="28"/>
          <w:szCs w:val="28"/>
        </w:rPr>
      </w:pPr>
      <w:r>
        <w:rPr>
          <w:rStyle w:val="17"/>
          <w:rFonts w:hint="eastAsia" w:ascii="宋体" w:hAnsi="宋体" w:eastAsia="宋体" w:cs="宋体"/>
          <w:b/>
          <w:bCs/>
          <w:sz w:val="28"/>
          <w:szCs w:val="28"/>
        </w:rPr>
        <w:t>3.2课程建设质量</w:t>
      </w:r>
      <w:r>
        <w:rPr>
          <w:rStyle w:val="17"/>
          <w:rFonts w:hint="eastAsia" w:ascii="宋体" w:hAnsi="宋体" w:eastAsia="宋体" w:cs="宋体"/>
          <w:b/>
          <w:bCs/>
          <w:sz w:val="28"/>
          <w:szCs w:val="28"/>
        </w:rPr>
        <w:tab/>
      </w:r>
    </w:p>
    <w:p>
      <w:pPr>
        <w:pStyle w:val="19"/>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Style w:val="17"/>
          <w:rFonts w:hint="eastAsia" w:ascii="宋体" w:hAnsi="宋体" w:eastAsia="宋体" w:cs="宋体"/>
          <w:sz w:val="28"/>
          <w:szCs w:val="28"/>
        </w:rPr>
      </w:pPr>
      <w:r>
        <w:rPr>
          <w:rStyle w:val="17"/>
          <w:rFonts w:hint="eastAsia" w:ascii="宋体" w:hAnsi="宋体" w:eastAsia="宋体" w:cs="宋体"/>
          <w:sz w:val="28"/>
          <w:szCs w:val="28"/>
        </w:rPr>
        <w:t>课程建设是学校教学根本建设的重要内容，是专业建设和学科建设的关键，是提高教学质量的重要方法和基本途径，也是有效落实教学计划的重要保证。</w:t>
      </w:r>
    </w:p>
    <w:p>
      <w:pPr>
        <w:pStyle w:val="19"/>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3.2.1 课程建设规划与体系建设</w:t>
      </w:r>
      <w:r>
        <w:rPr>
          <w:rFonts w:asciiTheme="minorEastAsia" w:hAnsiTheme="minorEastAsia" w:eastAsiaTheme="minorEastAsia"/>
          <w:b/>
          <w:sz w:val="28"/>
          <w:szCs w:val="28"/>
        </w:rPr>
        <w:t xml:space="preserve"> </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 xml:space="preserve">强化课程建设的组织领导，保证课程建设工作有效开展。 </w:t>
      </w:r>
    </w:p>
    <w:p>
      <w:pPr>
        <w:pStyle w:val="19"/>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课程建设是学校提高整体教学水平和人才培养质量的重要举措，</w:t>
      </w:r>
      <w:r>
        <w:rPr>
          <w:rFonts w:hint="eastAsia" w:asciiTheme="minorEastAsia" w:hAnsiTheme="minorEastAsia" w:eastAsiaTheme="minorEastAsia"/>
          <w:sz w:val="28"/>
          <w:szCs w:val="28"/>
        </w:rPr>
        <w:t>学校</w:t>
      </w:r>
      <w:r>
        <w:rPr>
          <w:rFonts w:asciiTheme="minorEastAsia" w:hAnsiTheme="minorEastAsia" w:eastAsiaTheme="minorEastAsia"/>
          <w:sz w:val="28"/>
          <w:szCs w:val="28"/>
        </w:rPr>
        <w:t>成立课程建设领导小组</w:t>
      </w:r>
      <w:r>
        <w:rPr>
          <w:rFonts w:hint="eastAsia" w:asciiTheme="minorEastAsia" w:hAnsiTheme="minorEastAsia" w:eastAsiaTheme="minorEastAsia"/>
          <w:sz w:val="28"/>
          <w:szCs w:val="28"/>
        </w:rPr>
        <w:t>，</w:t>
      </w:r>
      <w:r>
        <w:rPr>
          <w:rFonts w:asciiTheme="minorEastAsia" w:hAnsiTheme="minorEastAsia" w:eastAsiaTheme="minorEastAsia"/>
          <w:sz w:val="28"/>
          <w:szCs w:val="28"/>
        </w:rPr>
        <w:t>负责组织制定全</w:t>
      </w:r>
      <w:r>
        <w:rPr>
          <w:rFonts w:hint="eastAsia" w:asciiTheme="minorEastAsia" w:hAnsiTheme="minorEastAsia" w:eastAsiaTheme="minorEastAsia"/>
          <w:sz w:val="28"/>
          <w:szCs w:val="28"/>
        </w:rPr>
        <w:t>校</w:t>
      </w:r>
      <w:r>
        <w:rPr>
          <w:rFonts w:asciiTheme="minorEastAsia" w:hAnsiTheme="minorEastAsia" w:eastAsiaTheme="minorEastAsia"/>
          <w:sz w:val="28"/>
          <w:szCs w:val="28"/>
        </w:rPr>
        <w:t>的课程建设规划、方案，对各类课程进行检查、指导和评估等工作</w:t>
      </w:r>
      <w:r>
        <w:rPr>
          <w:rFonts w:hint="eastAsia" w:asciiTheme="minorEastAsia" w:hAnsiTheme="minorEastAsia" w:eastAsiaTheme="minorEastAsia"/>
          <w:sz w:val="28"/>
          <w:szCs w:val="28"/>
        </w:rPr>
        <w:t>。</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强化教师队伍建设，确保课程建设可连续开展</w:t>
      </w:r>
      <w:r>
        <w:rPr>
          <w:rFonts w:hint="eastAsia" w:asciiTheme="minorEastAsia" w:hAnsiTheme="minorEastAsia" w:eastAsiaTheme="minorEastAsia"/>
          <w:sz w:val="28"/>
          <w:szCs w:val="28"/>
        </w:rPr>
        <w:t>。</w:t>
      </w:r>
    </w:p>
    <w:p>
      <w:pPr>
        <w:pStyle w:val="19"/>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进一步强化教师专业</w:t>
      </w:r>
      <w:r>
        <w:rPr>
          <w:rFonts w:hint="eastAsia" w:asciiTheme="minorEastAsia" w:hAnsiTheme="minorEastAsia" w:eastAsiaTheme="minorEastAsia"/>
          <w:sz w:val="28"/>
          <w:szCs w:val="28"/>
        </w:rPr>
        <w:t>理论</w:t>
      </w:r>
      <w:r>
        <w:rPr>
          <w:rFonts w:asciiTheme="minorEastAsia" w:hAnsiTheme="minorEastAsia" w:eastAsiaTheme="minorEastAsia"/>
          <w:sz w:val="28"/>
          <w:szCs w:val="28"/>
        </w:rPr>
        <w:t>和专业技能培训，健全和完善教师</w:t>
      </w:r>
      <w:r>
        <w:rPr>
          <w:rFonts w:hint="eastAsia" w:asciiTheme="minorEastAsia" w:hAnsiTheme="minorEastAsia" w:eastAsiaTheme="minorEastAsia"/>
          <w:sz w:val="28"/>
          <w:szCs w:val="28"/>
        </w:rPr>
        <w:t>培训</w:t>
      </w:r>
      <w:r>
        <w:rPr>
          <w:rFonts w:asciiTheme="minorEastAsia" w:hAnsiTheme="minorEastAsia" w:eastAsiaTheme="minorEastAsia"/>
          <w:sz w:val="28"/>
          <w:szCs w:val="28"/>
        </w:rPr>
        <w:t xml:space="preserve">，建立鼓舞机制和考核评价机制，通过多渠道、多层次培训方法，全面提高师资质量，建设优秀教学团队。 </w:t>
      </w:r>
      <w:r>
        <w:rPr>
          <w:rFonts w:asciiTheme="minorEastAsia" w:hAnsiTheme="minorEastAsia" w:eastAsiaTheme="minorEastAsia"/>
          <w:sz w:val="28"/>
          <w:szCs w:val="28"/>
        </w:rPr>
        <w:br w:type="textWrapping"/>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建立科学合理的治理机制，确保各类课程建设质量</w:t>
      </w:r>
      <w:r>
        <w:rPr>
          <w:rFonts w:hint="eastAsia" w:asciiTheme="minorEastAsia" w:hAnsiTheme="minorEastAsia" w:eastAsiaTheme="minorEastAsia"/>
          <w:sz w:val="28"/>
          <w:szCs w:val="28"/>
        </w:rPr>
        <w:t>。</w:t>
      </w:r>
      <w:r>
        <w:rPr>
          <w:rFonts w:asciiTheme="minorEastAsia" w:hAnsiTheme="minorEastAsia" w:eastAsiaTheme="minorEastAsia"/>
          <w:sz w:val="28"/>
          <w:szCs w:val="28"/>
        </w:rPr>
        <w:br w:type="textWrapping"/>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学</w:t>
      </w:r>
      <w:r>
        <w:rPr>
          <w:rFonts w:hint="eastAsia" w:asciiTheme="minorEastAsia" w:hAnsiTheme="minorEastAsia" w:eastAsiaTheme="minorEastAsia"/>
          <w:sz w:val="28"/>
          <w:szCs w:val="28"/>
        </w:rPr>
        <w:t>校</w:t>
      </w:r>
      <w:r>
        <w:rPr>
          <w:rFonts w:asciiTheme="minorEastAsia" w:hAnsiTheme="minorEastAsia" w:eastAsiaTheme="minorEastAsia"/>
          <w:sz w:val="28"/>
          <w:szCs w:val="28"/>
        </w:rPr>
        <w:t>严格按照课程建设的相关规定</w:t>
      </w:r>
      <w:r>
        <w:rPr>
          <w:rFonts w:hint="eastAsia" w:asciiTheme="minorEastAsia" w:hAnsiTheme="minorEastAsia" w:eastAsiaTheme="minorEastAsia"/>
          <w:sz w:val="28"/>
          <w:szCs w:val="28"/>
        </w:rPr>
        <w:t>及</w:t>
      </w:r>
      <w:r>
        <w:rPr>
          <w:rFonts w:asciiTheme="minorEastAsia" w:hAnsiTheme="minorEastAsia" w:eastAsiaTheme="minorEastAsia"/>
          <w:sz w:val="28"/>
          <w:szCs w:val="28"/>
        </w:rPr>
        <w:t>标准，定期对课程进行检查和验收，及时提出相应的改进意见和建议，使其在教学实施过程中不断完善和提高</w:t>
      </w:r>
      <w:r>
        <w:rPr>
          <w:rFonts w:hint="eastAsia" w:asciiTheme="minorEastAsia" w:hAnsiTheme="minorEastAsia" w:eastAsiaTheme="minorEastAsia"/>
          <w:sz w:val="28"/>
          <w:szCs w:val="28"/>
        </w:rPr>
        <w:t>。</w:t>
      </w:r>
      <w:r>
        <w:rPr>
          <w:rFonts w:asciiTheme="minorEastAsia" w:hAnsiTheme="minorEastAsia" w:eastAsiaTheme="minorEastAsia"/>
          <w:sz w:val="28"/>
          <w:szCs w:val="28"/>
        </w:rPr>
        <w:br w:type="textWrapping"/>
      </w:r>
      <w:r>
        <w:rPr>
          <w:rFonts w:hint="eastAsia" w:asciiTheme="minorEastAsia" w:hAnsiTheme="minorEastAsia" w:eastAsiaTheme="minorEastAsia"/>
          <w:sz w:val="28"/>
          <w:szCs w:val="28"/>
        </w:rPr>
        <w:t xml:space="preserve">    4.</w:t>
      </w:r>
      <w:r>
        <w:rPr>
          <w:rFonts w:asciiTheme="minorEastAsia" w:hAnsiTheme="minorEastAsia" w:eastAsiaTheme="minorEastAsia"/>
          <w:sz w:val="28"/>
          <w:szCs w:val="28"/>
        </w:rPr>
        <w:t xml:space="preserve">强化实训实习基地建设。 </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强化实训教学内容，构建</w:t>
      </w:r>
      <w:r>
        <w:rPr>
          <w:rFonts w:hint="eastAsia" w:asciiTheme="minorEastAsia" w:hAnsiTheme="minorEastAsia" w:eastAsiaTheme="minorEastAsia"/>
          <w:sz w:val="28"/>
          <w:szCs w:val="28"/>
        </w:rPr>
        <w:t>理实一体</w:t>
      </w:r>
      <w:r>
        <w:rPr>
          <w:rFonts w:asciiTheme="minorEastAsia" w:hAnsiTheme="minorEastAsia" w:eastAsiaTheme="minorEastAsia"/>
          <w:sz w:val="28"/>
          <w:szCs w:val="28"/>
        </w:rPr>
        <w:t>的实践教学体系</w:t>
      </w:r>
      <w:r>
        <w:rPr>
          <w:rFonts w:hint="eastAsia" w:asciiTheme="minorEastAsia" w:hAnsiTheme="minorEastAsia" w:eastAsiaTheme="minorEastAsia"/>
          <w:sz w:val="28"/>
          <w:szCs w:val="28"/>
        </w:rPr>
        <w:t xml:space="preserve">，以实践为学习重点，集实践与理论为一体，不断提高学生职业技能，培养学生的职业素养。 </w:t>
      </w:r>
      <w:r>
        <w:rPr>
          <w:rFonts w:asciiTheme="minorEastAsia" w:hAnsiTheme="minorEastAsia" w:eastAsiaTheme="minorEastAsia"/>
          <w:sz w:val="28"/>
          <w:szCs w:val="28"/>
        </w:rPr>
        <w:t xml:space="preserve"> </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3.2.2 课程思政建设</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1.修改课程教学大纲。</w:t>
      </w:r>
      <w:r>
        <w:rPr>
          <w:rFonts w:asciiTheme="minorEastAsia" w:hAnsiTheme="minorEastAsia" w:eastAsiaTheme="minorEastAsia"/>
          <w:sz w:val="28"/>
          <w:szCs w:val="28"/>
        </w:rPr>
        <w:t>结合课程教学内容实际，明确思政教育的融入点</w:t>
      </w:r>
      <w:r>
        <w:rPr>
          <w:rFonts w:hint="eastAsia" w:asciiTheme="minorEastAsia" w:hAnsiTheme="minorEastAsia" w:eastAsiaTheme="minorEastAsia"/>
          <w:sz w:val="28"/>
          <w:szCs w:val="28"/>
        </w:rPr>
        <w:t>和</w:t>
      </w:r>
      <w:r>
        <w:rPr>
          <w:rFonts w:asciiTheme="minorEastAsia" w:hAnsiTheme="minorEastAsia" w:eastAsiaTheme="minorEastAsia"/>
          <w:sz w:val="28"/>
          <w:szCs w:val="28"/>
        </w:rPr>
        <w:t>教学方法</w:t>
      </w:r>
      <w:r>
        <w:rPr>
          <w:rFonts w:hint="eastAsia" w:asciiTheme="minorEastAsia" w:hAnsiTheme="minorEastAsia" w:eastAsiaTheme="minorEastAsia"/>
          <w:sz w:val="28"/>
          <w:szCs w:val="28"/>
        </w:rPr>
        <w:t>，</w:t>
      </w:r>
      <w:r>
        <w:rPr>
          <w:rFonts w:asciiTheme="minorEastAsia" w:hAnsiTheme="minorEastAsia" w:eastAsiaTheme="minorEastAsia"/>
          <w:sz w:val="28"/>
          <w:szCs w:val="28"/>
        </w:rPr>
        <w:t>注重思政教育与专业教育</w:t>
      </w:r>
      <w:r>
        <w:rPr>
          <w:rFonts w:hint="eastAsia" w:asciiTheme="minorEastAsia" w:hAnsiTheme="minorEastAsia" w:eastAsiaTheme="minorEastAsia"/>
          <w:sz w:val="28"/>
          <w:szCs w:val="28"/>
        </w:rPr>
        <w:t>的</w:t>
      </w:r>
      <w:r>
        <w:rPr>
          <w:rFonts w:asciiTheme="minorEastAsia" w:hAnsiTheme="minorEastAsia" w:eastAsiaTheme="minorEastAsia"/>
          <w:sz w:val="28"/>
          <w:szCs w:val="28"/>
        </w:rPr>
        <w:t>衔接和融合。</w:t>
      </w:r>
    </w:p>
    <w:p>
      <w:pPr>
        <w:pStyle w:val="19"/>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2.完善课程思政育人评价体系</w:t>
      </w:r>
      <w:r>
        <w:rPr>
          <w:rFonts w:hint="eastAsia" w:asciiTheme="minorEastAsia" w:hAnsiTheme="minorEastAsia" w:eastAsiaTheme="minorEastAsia"/>
          <w:sz w:val="28"/>
          <w:szCs w:val="28"/>
        </w:rPr>
        <w:t>。</w:t>
      </w:r>
      <w:r>
        <w:rPr>
          <w:rFonts w:asciiTheme="minorEastAsia" w:hAnsiTheme="minorEastAsia" w:eastAsiaTheme="minorEastAsia"/>
          <w:sz w:val="28"/>
          <w:szCs w:val="28"/>
        </w:rPr>
        <w:t>将课程思政理念有机融入学校人才培养方案，建立课程思政教学效果评价体系</w:t>
      </w:r>
      <w:r>
        <w:rPr>
          <w:rFonts w:hint="eastAsia" w:asciiTheme="minorEastAsia" w:hAnsiTheme="minorEastAsia" w:eastAsiaTheme="minorEastAsia"/>
          <w:sz w:val="28"/>
          <w:szCs w:val="28"/>
        </w:rPr>
        <w:t>。</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3.开展集体备课活动。全面开展课程思政集体备课活动，着重围绕“备内容、备学生、备教法”，发挥团队合力，凝聚智慧，提升课程思政教学效果。</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4.开展课程思政示范课听课活动。每学期各教研组负责建设1个课程思政示范课堂，开展示范观摩听课，重点对融入课程课堂教学的思政教育元素进行调研。</w:t>
      </w:r>
    </w:p>
    <w:p>
      <w:pPr>
        <w:pStyle w:val="19"/>
        <w:spacing w:line="360" w:lineRule="auto"/>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sz w:val="28"/>
          <w:szCs w:val="28"/>
        </w:rPr>
        <w:t>3.2.3</w:t>
      </w:r>
      <w:r>
        <w:rPr>
          <w:rFonts w:hint="eastAsia" w:asciiTheme="minorEastAsia" w:hAnsiTheme="minorEastAsia" w:eastAsiaTheme="minorEastAsia"/>
          <w:b/>
          <w:bCs/>
          <w:sz w:val="28"/>
          <w:szCs w:val="28"/>
        </w:rPr>
        <w:t>课程建设质量标准与监测评价</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课程建设工作的优劣与教学工作状况相联系，课程质量标准的设定，主要遵循如下思路：1.课程质量标准的设定应与学校定位、教学大纲相一致。2.标准的设立应体现全面性原则。首先以教师的课堂教学和实践教学质量为重点，其次抓好专业和课程体系的建设，再次对教学工作的整体评估为主要内容。</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3.3教学方法改革</w:t>
      </w:r>
      <w:r>
        <w:rPr>
          <w:rFonts w:hint="eastAsia" w:asciiTheme="minorEastAsia" w:hAnsiTheme="minorEastAsia" w:eastAsiaTheme="minorEastAsia"/>
          <w:b/>
          <w:sz w:val="28"/>
          <w:szCs w:val="28"/>
        </w:rPr>
        <w:tab/>
      </w:r>
    </w:p>
    <w:p>
      <w:pPr>
        <w:pStyle w:val="19"/>
        <w:spacing w:line="360" w:lineRule="auto"/>
        <w:ind w:firstLine="560" w:firstLineChars="200"/>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计算机技术和大数据技术的出现，让“互联网+教育”成为职业教育新主流，“线上+线下”混合式教学最大限度满足学生多样化、个性化需求。学校加大网络在线课程开设力度，这种课堂结构由课前、课中、课后三部分组成。课前，线上自主学习测评——通过微课视频或网络课程进行线上自主学习和在线测试；课中，线下协作实践展示——通过完成学习任务、小组交流讨论与实践练习、教师指导点评与提供学习帮助、展示学习成果等方式进行课堂实践体验练习，进而提升学生各种能力与协作精神；课后，线上线下结合，能力拓展——通过微信群、QQ群、网络平台引导学生开展自主训练，巩固课堂学习成果，教师批复作业，整理平台资源，进行教学反思。</w:t>
      </w:r>
      <w:r>
        <w:rPr>
          <w:rFonts w:asciiTheme="minorEastAsia" w:hAnsiTheme="minorEastAsia" w:eastAsiaTheme="minorEastAsia"/>
          <w:bCs/>
          <w:sz w:val="28"/>
          <w:szCs w:val="28"/>
        </w:rPr>
        <w:t xml:space="preserve"> </w:t>
      </w:r>
    </w:p>
    <w:p>
      <w:pPr>
        <w:pStyle w:val="19"/>
        <w:spacing w:line="360" w:lineRule="auto"/>
        <w:ind w:firstLine="562" w:firstLineChars="200"/>
        <w:jc w:val="both"/>
        <w:rPr>
          <w:rFonts w:asciiTheme="minorEastAsia" w:hAnsiTheme="minorEastAsia" w:eastAsiaTheme="minorEastAsia"/>
          <w:bCs/>
          <w:sz w:val="28"/>
          <w:szCs w:val="28"/>
        </w:rPr>
      </w:pPr>
      <w:r>
        <w:rPr>
          <w:rFonts w:hint="eastAsia" w:asciiTheme="minorEastAsia" w:hAnsiTheme="minorEastAsia" w:eastAsiaTheme="minorEastAsia"/>
          <w:b/>
          <w:bCs/>
          <w:sz w:val="28"/>
          <w:szCs w:val="28"/>
        </w:rPr>
        <w:t>3.4数字化教学资源建设与应用</w:t>
      </w:r>
    </w:p>
    <w:p>
      <w:pPr>
        <w:pStyle w:val="19"/>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数字化教学资源旳建设与使用</w:t>
      </w:r>
      <w:r>
        <w:rPr>
          <w:rFonts w:hint="eastAsia" w:asciiTheme="minorEastAsia" w:hAnsiTheme="minorEastAsia" w:eastAsiaTheme="minorEastAsia"/>
          <w:sz w:val="28"/>
          <w:szCs w:val="28"/>
        </w:rPr>
        <w:t>是</w:t>
      </w:r>
      <w:r>
        <w:rPr>
          <w:rFonts w:asciiTheme="minorEastAsia" w:hAnsiTheme="minorEastAsia" w:eastAsiaTheme="minorEastAsia"/>
          <w:sz w:val="28"/>
          <w:szCs w:val="28"/>
        </w:rPr>
        <w:t>成为教学资源建设旳</w:t>
      </w:r>
      <w:r>
        <w:rPr>
          <w:rFonts w:hint="eastAsia" w:asciiTheme="minorEastAsia" w:hAnsiTheme="minorEastAsia" w:eastAsiaTheme="minorEastAsia"/>
          <w:sz w:val="28"/>
          <w:szCs w:val="28"/>
        </w:rPr>
        <w:t>关键</w:t>
      </w:r>
      <w:r>
        <w:rPr>
          <w:rFonts w:asciiTheme="minorEastAsia" w:hAnsiTheme="minorEastAsia" w:eastAsiaTheme="minorEastAsia"/>
          <w:sz w:val="28"/>
          <w:szCs w:val="28"/>
        </w:rPr>
        <w:t>。</w:t>
      </w:r>
      <w:r>
        <w:rPr>
          <w:rFonts w:hint="eastAsia" w:asciiTheme="minorEastAsia" w:hAnsiTheme="minorEastAsia" w:eastAsiaTheme="minorEastAsia"/>
          <w:sz w:val="28"/>
          <w:szCs w:val="28"/>
        </w:rPr>
        <w:t>学校充分</w:t>
      </w:r>
      <w:r>
        <w:rPr>
          <w:rFonts w:asciiTheme="minorEastAsia" w:hAnsiTheme="minorEastAsia" w:eastAsiaTheme="minorEastAsia"/>
          <w:sz w:val="28"/>
          <w:szCs w:val="28"/>
        </w:rPr>
        <w:t>使用校园网资源，</w:t>
      </w:r>
      <w:r>
        <w:rPr>
          <w:rFonts w:hint="eastAsia" w:asciiTheme="minorEastAsia" w:hAnsiTheme="minorEastAsia" w:eastAsiaTheme="minorEastAsia"/>
          <w:sz w:val="28"/>
          <w:szCs w:val="28"/>
        </w:rPr>
        <w:t>选定优秀的教学平台，</w:t>
      </w:r>
      <w:r>
        <w:rPr>
          <w:rFonts w:asciiTheme="minorEastAsia" w:hAnsiTheme="minorEastAsia" w:eastAsiaTheme="minorEastAsia"/>
          <w:sz w:val="28"/>
          <w:szCs w:val="28"/>
        </w:rPr>
        <w:t>整合优化各类教学资源</w:t>
      </w:r>
      <w:r>
        <w:rPr>
          <w:rFonts w:hint="eastAsia" w:asciiTheme="minorEastAsia" w:hAnsiTheme="minorEastAsia" w:eastAsiaTheme="minorEastAsia"/>
          <w:sz w:val="28"/>
          <w:szCs w:val="28"/>
        </w:rPr>
        <w:t>。1.2022年疫情防控期间，学校使用钉钉和考试云系统，顺利组织线上教学、线上考试，实现了“停课不停教、停课不停学”。线上教学结束后，学校收集本阶段各专业涌现的优秀教学资源，及时更新学校数字化教学资源库。2.日常教学中，学校鼓励师生根据教学需要自主选择资源，通过网络学习空间组织教学、开展学习，促进数字教育资源在日常教学中深入、广泛应用。3.</w:t>
      </w:r>
      <w:r>
        <w:rPr>
          <w:rFonts w:asciiTheme="minorEastAsia" w:hAnsiTheme="minorEastAsia" w:eastAsiaTheme="minorEastAsia"/>
          <w:sz w:val="28"/>
          <w:szCs w:val="28"/>
        </w:rPr>
        <w:t>加强多媒体教学师资旳培训</w:t>
      </w:r>
      <w:r>
        <w:rPr>
          <w:rFonts w:hint="eastAsia" w:asciiTheme="minorEastAsia" w:hAnsiTheme="minorEastAsia" w:eastAsiaTheme="minorEastAsia"/>
          <w:sz w:val="28"/>
          <w:szCs w:val="28"/>
        </w:rPr>
        <w:t>。学校教务处充分发挥教研组的作用，组织教师积极参加信息技术能力提升工程2.0培训项目，多次开展学习研讨会，营造全校参与信息化能力提升的良好氛围。</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3.5师资队伍建设</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建立与学校办学规模相适应的学校教师招聘机制,切实增加教师招聘数量,进一步提高生师比比例，逐步提高兼职教师比例。2.加大对教师的现代教育技术的培训，注重提高教师的文化、学历层次的提升。3.加强师德建设和青年教师的培养，把师德师风建设与学校的中心工作有机结合，常抓不懈,要把师德要求、职业责任、行为规范细化到课堂教学、学科质量、班级管理这些有形的载体中。4.鼓励教师提升教学科研能力，提高业务知识能力和技能水平。5.突出教师队伍建设，积极开展“评优争先进”活动，逐年提高教师工资福利待遇，提高教师工作积极性,减缓教师流动，逐步建立一支相对稳定的业务能力强综合素质高的教师队伍。</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3.6校企双元育人</w:t>
      </w:r>
      <w:r>
        <w:rPr>
          <w:rFonts w:hint="eastAsia" w:asciiTheme="minorEastAsia" w:hAnsiTheme="minorEastAsia" w:eastAsiaTheme="minorEastAsia"/>
          <w:b/>
          <w:sz w:val="28"/>
          <w:szCs w:val="28"/>
        </w:rPr>
        <w:tab/>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学校成立校企合作管理部门和工作小组，将管理和工作层层细化，责任到人。</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一、规范校企合作顶岗实习流程</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1.由管理校企对接的老师筛选企业，对企业的资质、实力、岗位等进行多方位审核。学校确定11家合作企业，双方均签订校企合作协议，明确在校企合作学生顶岗实习过程中各自的职责。</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校企协议签订后，采取企业文化进校园的校园招聘会，让企业和学生面对面接触，双向自愿选择，真正实现校企合作“双赢”。企业、学校和家长共同签订三方协议，技术人员共同参与培养目标、课程设置、教学计划的制定等切实有效的方案。</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3.学生进企业后，辅导员老师每周下企业跟踪了解学生顶岗实习情况，及时与该期间有不良情绪的学生沟通。</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二、积极改进校企合作方式</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一方面，学校到企业考察调研、蹲点实践。安排相关人员到企业实地考查，掌握企业规模、性质、技能、待遇等情况，了解企业用人需求、合作愿景，形成校企合作调研报告。 </w:t>
      </w:r>
    </w:p>
    <w:p>
      <w:pPr>
        <w:spacing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另一方面，学校也要将企业请进来，邀请企业人员到学校调研、讲课。让企业了解学校办学情况，表达学校合作诚意，增强企业合作信心。在此基础上，共同商定合作协议，共同制定实训方案。</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第三，学校要创新教育内容，实现专业对接产业、课程对接岗位。</w:t>
      </w:r>
    </w:p>
    <w:p>
      <w:pPr>
        <w:spacing w:after="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第四，学校与企业共同拟定实习方案，既分工又合作。学校主要承担管理责任，企业主要承担技术培训责任。班主任跟踪管理，企业技术人员手把手地教，双方共同对学生进行实习鉴定。实习完毕，学校建立实习档案，进行实习总结评比，表彰优秀实习生。</w:t>
      </w:r>
    </w:p>
    <w:p>
      <w:pPr>
        <w:pStyle w:val="19"/>
        <w:spacing w:line="360" w:lineRule="auto"/>
        <w:ind w:firstLine="560" w:firstLineChars="200"/>
        <w:jc w:val="both"/>
        <w:rPr>
          <w:rFonts w:hint="eastAsia" w:ascii="楷体" w:hAnsi="楷体" w:eastAsia="楷体" w:cs="楷体"/>
          <w:sz w:val="28"/>
          <w:szCs w:val="28"/>
        </w:rPr>
      </w:pPr>
      <w:r>
        <w:rPr>
          <w:rFonts w:hint="eastAsia" w:ascii="楷体" w:hAnsi="楷体" w:eastAsia="楷体" w:cs="楷体"/>
          <w:sz w:val="28"/>
          <w:szCs w:val="28"/>
        </w:rPr>
        <w:t>一位在苏州地铁实习的学生在实习心得里这样写道：在这段时间里，我们挥洒着汗水，对苏州地铁从陌生到认识，从认识到熟悉，又从熟悉到应用的转变。对列车的性能、牵引、制动、线路的信号系统等都有了一定了解。回忆着与师父指导员和领导共同度过得美好时光，收获了全新轻轨行车理解得概念。让我对苏州地铁检修岗位有了更好地认识。每天看着来来往往的苏州地铁列车早晨出场晚上入库，让每位乘客都得到最宾至如归得服务，我为自己是一名苏州地铁工作人员而感到光荣。</w:t>
      </w:r>
    </w:p>
    <w:p>
      <w:pPr>
        <w:pStyle w:val="19"/>
        <w:spacing w:line="360" w:lineRule="auto"/>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4984115" cy="2710180"/>
            <wp:effectExtent l="0" t="0" r="14605" b="2540"/>
            <wp:docPr id="16" name="图片 16" descr="lADPJxuMPGKsJ2TNA8LNBQQ_1284_962.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DPJxuMPGKsJ2TNA8LNBQQ_1284_962.jpg_720x720q90g"/>
                    <pic:cNvPicPr>
                      <a:picLocks noChangeAspect="1"/>
                    </pic:cNvPicPr>
                  </pic:nvPicPr>
                  <pic:blipFill>
                    <a:blip r:embed="rId24"/>
                    <a:srcRect l="-145" t="20174" r="-445" b="6757"/>
                    <a:stretch>
                      <a:fillRect/>
                    </a:stretch>
                  </pic:blipFill>
                  <pic:spPr>
                    <a:xfrm>
                      <a:off x="0" y="0"/>
                      <a:ext cx="4984115" cy="2710180"/>
                    </a:xfrm>
                    <a:prstGeom prst="rect">
                      <a:avLst/>
                    </a:prstGeom>
                  </pic:spPr>
                </pic:pic>
              </a:graphicData>
            </a:graphic>
          </wp:inline>
        </w:drawing>
      </w:r>
    </w:p>
    <w:p>
      <w:pPr>
        <w:pStyle w:val="19"/>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图11：学生实习岗前培训</w:t>
      </w:r>
    </w:p>
    <w:p>
      <w:pPr>
        <w:pStyle w:val="19"/>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4. 国际合作质量</w:t>
      </w:r>
    </w:p>
    <w:p>
      <w:pPr>
        <w:pStyle w:val="19"/>
        <w:spacing w:line="360" w:lineRule="auto"/>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4.</w:t>
      </w:r>
      <w:r>
        <w:rPr>
          <w:rFonts w:hint="eastAsia" w:asciiTheme="minorEastAsia" w:hAnsiTheme="minorEastAsia" w:eastAsiaTheme="minorEastAsia"/>
          <w:b/>
          <w:sz w:val="28"/>
          <w:szCs w:val="28"/>
        </w:rPr>
        <w:t>1</w:t>
      </w:r>
      <w:r>
        <w:rPr>
          <w:rFonts w:asciiTheme="minorEastAsia" w:hAnsiTheme="minorEastAsia" w:eastAsiaTheme="minorEastAsia"/>
          <w:b/>
          <w:sz w:val="28"/>
          <w:szCs w:val="28"/>
        </w:rPr>
        <w:t>提升学生国际化素养质量</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“要以扩大开放，做强职业教育、推进人文交流为着力点”，加强国际合作交流，引进国外优质教育资源。</w:t>
      </w:r>
    </w:p>
    <w:p>
      <w:pPr>
        <w:pStyle w:val="19"/>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为提升学生国际化素养，学校积极开设外语课程，在课程开发方面做了很多积极的尝试。除了开设基础英语课程外，学校还开设专业英语课程，如：航空英语、轨道英语、旅游英语、商务英语。教师在课堂上尽可能全英文授课，介绍不同的文化背景，加深学生对文化意识的理解，使其具备国际化视野和思维。</w:t>
      </w:r>
    </w:p>
    <w:p>
      <w:pPr>
        <w:pStyle w:val="19"/>
        <w:spacing w:line="360" w:lineRule="auto"/>
        <w:ind w:firstLine="562" w:firstLine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5.服务贡献质量</w:t>
      </w:r>
    </w:p>
    <w:p>
      <w:pPr>
        <w:pStyle w:val="19"/>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5</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1服务行业企业</w:t>
      </w:r>
    </w:p>
    <w:p>
      <w:pPr>
        <w:pStyle w:val="19"/>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学校航空服务专业开设以来，已向社会输送数百名航空服务人才。为把航空服务专业学生培养具有一定理论基础及较强应用能力的航空服务型人才，学校坚持学习先进教育理念，聘请乘务经验丰富的专业人员授课，更好地满足学生的实验实训学习。学校设立航空服务模拟舱，使学生参与其中，以教师为指导，形成理实结合的教学模式。</w:t>
      </w:r>
    </w:p>
    <w:p>
      <w:pPr>
        <w:pStyle w:val="19"/>
        <w:spacing w:line="360" w:lineRule="auto"/>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114300" distR="114300">
            <wp:extent cx="4368800" cy="2912745"/>
            <wp:effectExtent l="0" t="0" r="5080" b="13335"/>
            <wp:docPr id="12" name="图片 12" descr="模拟仓安全演示 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模拟仓安全演示 右5"/>
                    <pic:cNvPicPr>
                      <a:picLocks noChangeAspect="1"/>
                    </pic:cNvPicPr>
                  </pic:nvPicPr>
                  <pic:blipFill>
                    <a:blip r:embed="rId25"/>
                    <a:stretch>
                      <a:fillRect/>
                    </a:stretch>
                  </pic:blipFill>
                  <pic:spPr>
                    <a:xfrm>
                      <a:off x="0" y="0"/>
                      <a:ext cx="4368800" cy="2912745"/>
                    </a:xfrm>
                    <a:prstGeom prst="rect">
                      <a:avLst/>
                    </a:prstGeom>
                  </pic:spPr>
                </pic:pic>
              </a:graphicData>
            </a:graphic>
          </wp:inline>
        </w:drawing>
      </w:r>
    </w:p>
    <w:p>
      <w:pPr>
        <w:pStyle w:val="19"/>
        <w:spacing w:line="360" w:lineRule="auto"/>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图1</w:t>
      </w:r>
      <w:r>
        <w:rPr>
          <w:rFonts w:hint="eastAsia" w:asciiTheme="minorEastAsia" w:hAnsiTheme="minorEastAsia" w:eastAsiaTheme="minorEastAsia"/>
          <w:sz w:val="21"/>
          <w:szCs w:val="21"/>
          <w:lang w:val="en-US" w:eastAsia="zh-CN"/>
        </w:rPr>
        <w:t>2</w:t>
      </w:r>
      <w:r>
        <w:rPr>
          <w:rFonts w:hint="eastAsia" w:asciiTheme="minorEastAsia" w:hAnsiTheme="minorEastAsia" w:eastAsiaTheme="minorEastAsia"/>
          <w:sz w:val="21"/>
          <w:szCs w:val="21"/>
        </w:rPr>
        <w:t>：模拟</w:t>
      </w:r>
      <w:r>
        <w:rPr>
          <w:rFonts w:hint="eastAsia" w:asciiTheme="minorEastAsia" w:hAnsiTheme="minorEastAsia" w:eastAsiaTheme="minorEastAsia"/>
          <w:sz w:val="21"/>
          <w:szCs w:val="21"/>
          <w:lang w:val="en-US" w:eastAsia="zh-CN"/>
        </w:rPr>
        <w:t>舱</w:t>
      </w:r>
      <w:r>
        <w:rPr>
          <w:rFonts w:hint="eastAsia" w:asciiTheme="minorEastAsia" w:hAnsiTheme="minorEastAsia" w:eastAsiaTheme="minorEastAsia"/>
          <w:sz w:val="21"/>
          <w:szCs w:val="21"/>
        </w:rPr>
        <w:t>安全演示</w:t>
      </w:r>
    </w:p>
    <w:p>
      <w:pPr>
        <w:pStyle w:val="19"/>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5.2服务地方发展</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随着产业升级和经济结构的调整以及生产方式的转变，大力发展中等职业教育，走校企联合办学道路，为当地经济社会发展服务，既是经济社会发展客观要求，也是中等职业教育可持续发展的客观需要。</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积极开展校企“双元”育人，坚持知行合一、理实结合，校企共同研究制定人才培养方案，及时更新教学内容，强化学生实习实训。学校根据自身特点和社会人才需要，主动与具备条件的企业在人才培养、就业创业、社会服务等方面开展合作，积极为企业提供所需课程、师资等资源，企业履行实施职业教育义务参与校企合作，促进人力资源开发。</w:t>
      </w:r>
    </w:p>
    <w:p>
      <w:pPr>
        <w:pStyle w:val="19"/>
        <w:spacing w:line="360" w:lineRule="auto"/>
        <w:ind w:firstLine="562" w:firstLineChars="200"/>
        <w:jc w:val="both"/>
        <w:rPr>
          <w:rFonts w:hint="eastAsia" w:asciiTheme="minorEastAsia" w:hAnsiTheme="minorEastAsia" w:eastAsiaTheme="minorEastAsia"/>
          <w:b/>
          <w:bCs/>
          <w:sz w:val="28"/>
          <w:szCs w:val="28"/>
        </w:rPr>
      </w:pP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5.3具有本校特色的服务</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成立学生艺术发展中心，以戏剧、舞蹈、音乐、礼仪为特色，组织开展校内外各项艺术活动，提高学生艺术才能，服务当地的文化建设。2022年，学校艺术发展中心承接当地政府以及企事业单位多项文艺演出：中秋灯会开幕式演出、巴城镇文艺汇演、锦溪丰收节文艺汇演、“无悔青春，一鹿共守”青少年防范新型毒品主题活动、苏州市阳澄湖大闸蟹开捕节活动等。</w:t>
      </w:r>
    </w:p>
    <w:p>
      <w:pPr>
        <w:pStyle w:val="19"/>
        <w:spacing w:line="360" w:lineRule="auto"/>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drawing>
          <wp:inline distT="0" distB="0" distL="114300" distR="114300">
            <wp:extent cx="4042410" cy="2273300"/>
            <wp:effectExtent l="0" t="0" r="11430" b="12700"/>
            <wp:docPr id="10" name="图片 10" descr="C:\Users\李明\Desktop\-28367904-23123398.jpg-28367904-2312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李明\Desktop\-28367904-23123398.jpg-28367904-23123398"/>
                    <pic:cNvPicPr>
                      <a:picLocks noChangeAspect="1"/>
                    </pic:cNvPicPr>
                  </pic:nvPicPr>
                  <pic:blipFill>
                    <a:blip r:embed="rId26"/>
                    <a:srcRect/>
                    <a:stretch>
                      <a:fillRect/>
                    </a:stretch>
                  </pic:blipFill>
                  <pic:spPr>
                    <a:xfrm>
                      <a:off x="0" y="0"/>
                      <a:ext cx="4042410" cy="2273300"/>
                    </a:xfrm>
                    <a:prstGeom prst="rect">
                      <a:avLst/>
                    </a:prstGeom>
                  </pic:spPr>
                </pic:pic>
              </a:graphicData>
            </a:graphic>
          </wp:inline>
        </w:drawing>
      </w:r>
    </w:p>
    <w:p>
      <w:pPr>
        <w:pStyle w:val="19"/>
        <w:spacing w:line="360" w:lineRule="auto"/>
        <w:jc w:val="center"/>
        <w:rPr>
          <w:rFonts w:asciiTheme="minorEastAsia" w:hAnsiTheme="minorEastAsia" w:eastAsiaTheme="minorEastAsia"/>
          <w:b/>
          <w:bCs/>
          <w:sz w:val="21"/>
          <w:szCs w:val="21"/>
        </w:rPr>
      </w:pPr>
      <w:r>
        <w:rPr>
          <w:rFonts w:hint="eastAsia" w:asciiTheme="minorEastAsia" w:hAnsiTheme="minorEastAsia" w:eastAsiaTheme="minorEastAsia"/>
          <w:sz w:val="21"/>
          <w:szCs w:val="21"/>
        </w:rPr>
        <w:t>图1</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：学生参加周庄中秋灯会开幕式</w:t>
      </w:r>
    </w:p>
    <w:p>
      <w:pPr>
        <w:pStyle w:val="19"/>
        <w:spacing w:line="360" w:lineRule="auto"/>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drawing>
          <wp:inline distT="0" distB="0" distL="114300" distR="114300">
            <wp:extent cx="3722370" cy="2792730"/>
            <wp:effectExtent l="0" t="0" r="11430" b="11430"/>
            <wp:docPr id="11" name="图片 11" descr="288A587A-A5FF-411C-B47B-A7177697BDEB-477-000000299B0F8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88A587A-A5FF-411C-B47B-A7177697BDEB-477-000000299B0F85E7"/>
                    <pic:cNvPicPr>
                      <a:picLocks noChangeAspect="1"/>
                    </pic:cNvPicPr>
                  </pic:nvPicPr>
                  <pic:blipFill>
                    <a:blip r:embed="rId27"/>
                    <a:stretch>
                      <a:fillRect/>
                    </a:stretch>
                  </pic:blipFill>
                  <pic:spPr>
                    <a:xfrm>
                      <a:off x="0" y="0"/>
                      <a:ext cx="3722370" cy="2792730"/>
                    </a:xfrm>
                    <a:prstGeom prst="rect">
                      <a:avLst/>
                    </a:prstGeom>
                  </pic:spPr>
                </pic:pic>
              </a:graphicData>
            </a:graphic>
          </wp:inline>
        </w:drawing>
      </w:r>
    </w:p>
    <w:p>
      <w:pPr>
        <w:pStyle w:val="19"/>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图1</w:t>
      </w: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：学生参加锦溪丰收节</w:t>
      </w:r>
    </w:p>
    <w:p>
      <w:pPr>
        <w:pStyle w:val="19"/>
        <w:spacing w:line="360" w:lineRule="auto"/>
        <w:rPr>
          <w:rFonts w:hint="eastAsia" w:asciiTheme="minorEastAsia" w:hAnsiTheme="minorEastAsia" w:eastAsiaTheme="minorEastAsia"/>
          <w:b/>
          <w:bCs/>
          <w:sz w:val="28"/>
          <w:szCs w:val="28"/>
        </w:rPr>
      </w:pPr>
    </w:p>
    <w:p>
      <w:pPr>
        <w:pStyle w:val="19"/>
        <w:spacing w:line="360" w:lineRule="auto"/>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5.4服务抗疫</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成立疫情防控专项小组，积极配合上级部门做好各项防疫防控工作，引导师生参加抗疫志愿活动。疫情期间，每天安排专人防疫值班，且投入大量资金购买抗疫物资，确保学校所有教室、办公室及校舍的卫生消毒，切实保障学校师生的身体健康和生命安全。</w:t>
      </w:r>
    </w:p>
    <w:p>
      <w:pPr>
        <w:pStyle w:val="19"/>
        <w:spacing w:line="360" w:lineRule="auto"/>
        <w:ind w:firstLine="560" w:firstLineChars="200"/>
        <w:jc w:val="both"/>
        <w:rPr>
          <w:rFonts w:asciiTheme="minorEastAsia" w:hAnsiTheme="minorEastAsia" w:eastAsiaTheme="minorEastAsia" w:cstheme="minorEastAsia"/>
          <w:sz w:val="21"/>
          <w:szCs w:val="21"/>
        </w:rPr>
      </w:pPr>
      <w:r>
        <w:rPr>
          <w:rFonts w:hint="eastAsia" w:ascii="楷体" w:hAnsi="楷体" w:eastAsia="楷体" w:cs="楷体"/>
          <w:sz w:val="28"/>
          <w:szCs w:val="28"/>
        </w:rPr>
        <w:t>2022年上半年，新冠疫情又一次反扑，极大地影响了我们的生命安全以及日常生活，在一轮又一轮的核酸检测中，福纳学子也冲到“前线”，成为抗疫志愿者，他们不分昼夜，全力配合参与疫情防控相关工作。19城轨02班学生施俊，第一时间报名志愿者，他参与小区大门执勤，督促小区居民配合测量体温和佩戴口罩等工作；19商务英语班学生张如男选择作为信息录入员为社区群众服务；20音乐01班学生张玉琦身穿蓝色防护服，也积极投入志愿者活动。虽然很辛苦，但是他们无怨无悔，更是心甘情愿地为疫情尽一份微薄之力。社会主义核心价值观告诉我们，在危难面前，人人都要奉献出自己的一份力量，让抗疫事业早日结束，中华大地再现和平安逸。</w:t>
      </w:r>
    </w:p>
    <w:p>
      <w:pPr>
        <w:pStyle w:val="19"/>
        <w:spacing w:line="360" w:lineRule="auto"/>
        <w:ind w:firstLine="420" w:firstLineChars="20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3580130" cy="2294255"/>
            <wp:effectExtent l="0" t="0" r="1270" b="6985"/>
            <wp:docPr id="17" name="图片 17" descr="03F554F5-BA50-47E6-AE40-AAA74CCEEAF1-3462-000000AE25EC7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F554F5-BA50-47E6-AE40-AAA74CCEEAF1-3462-000000AE25EC7F81"/>
                    <pic:cNvPicPr>
                      <a:picLocks noChangeAspect="1"/>
                    </pic:cNvPicPr>
                  </pic:nvPicPr>
                  <pic:blipFill>
                    <a:blip r:embed="rId28"/>
                    <a:srcRect l="11821" t="-514"/>
                    <a:stretch>
                      <a:fillRect/>
                    </a:stretch>
                  </pic:blipFill>
                  <pic:spPr>
                    <a:xfrm>
                      <a:off x="0" y="0"/>
                      <a:ext cx="3580130" cy="2294255"/>
                    </a:xfrm>
                    <a:prstGeom prst="rect">
                      <a:avLst/>
                    </a:prstGeom>
                  </pic:spPr>
                </pic:pic>
              </a:graphicData>
            </a:graphic>
          </wp:inline>
        </w:drawing>
      </w:r>
    </w:p>
    <w:p>
      <w:pPr>
        <w:pStyle w:val="19"/>
        <w:spacing w:line="360" w:lineRule="auto"/>
        <w:ind w:firstLine="420" w:firstLineChars="200"/>
        <w:jc w:val="center"/>
        <w:rPr>
          <w:rFonts w:asciiTheme="minorEastAsia" w:hAnsiTheme="minorEastAsia" w:eastAsiaTheme="minorEastAsia"/>
          <w:b/>
          <w:bCs/>
          <w:sz w:val="28"/>
          <w:szCs w:val="28"/>
        </w:rPr>
      </w:pPr>
      <w:r>
        <w:rPr>
          <w:rFonts w:hint="eastAsia" w:asciiTheme="minorEastAsia" w:hAnsiTheme="minorEastAsia" w:eastAsiaTheme="minorEastAsia" w:cstheme="minorEastAsia"/>
          <w:sz w:val="21"/>
          <w:szCs w:val="21"/>
        </w:rPr>
        <w:t>图1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：学生积极参与抗疫志愿者活动</w:t>
      </w:r>
    </w:p>
    <w:p>
      <w:pPr>
        <w:pStyle w:val="19"/>
        <w:spacing w:line="360" w:lineRule="auto"/>
        <w:ind w:firstLine="562" w:firstLineChars="200"/>
        <w:jc w:val="both"/>
        <w:rPr>
          <w:rFonts w:hint="eastAsia" w:asciiTheme="minorEastAsia" w:hAnsiTheme="minorEastAsia" w:eastAsiaTheme="minorEastAsia"/>
          <w:b/>
          <w:bCs/>
          <w:sz w:val="28"/>
          <w:szCs w:val="28"/>
        </w:rPr>
      </w:pPr>
    </w:p>
    <w:p>
      <w:pPr>
        <w:pStyle w:val="19"/>
        <w:spacing w:line="360" w:lineRule="auto"/>
        <w:ind w:firstLine="562" w:firstLineChars="200"/>
        <w:jc w:val="both"/>
        <w:rPr>
          <w:rFonts w:hint="eastAsia" w:asciiTheme="minorEastAsia" w:hAnsiTheme="minorEastAsia" w:eastAsiaTheme="minorEastAsia"/>
          <w:b/>
          <w:bCs/>
          <w:sz w:val="28"/>
          <w:szCs w:val="28"/>
        </w:rPr>
      </w:pP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6．政策落实质量</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6.1国家政策落实</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学校认真落实国家免学费和助学金、奖学金政策，制定相关制度，采取公开、公正、公平的原则，有秩序地开展学生资助工作，全力帮助经济困难的学生完成学业，资助面能覆盖到绝大多数贫困学生。</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今后，学校将继续进一步规范家庭经济困难认定工作，严格落实资助相关政策，做好家庭经济困难学生认定工作，从而健全资助工作覆盖面和补助标准动态调整机制，确保资助工作真正发挥实效。</w:t>
      </w:r>
    </w:p>
    <w:tbl>
      <w:tblPr>
        <w:tblStyle w:val="15"/>
        <w:tblW w:w="7321" w:type="dxa"/>
        <w:jc w:val="center"/>
        <w:tblLayout w:type="autofit"/>
        <w:tblCellMar>
          <w:top w:w="0" w:type="dxa"/>
          <w:left w:w="108" w:type="dxa"/>
          <w:bottom w:w="0" w:type="dxa"/>
          <w:right w:w="108" w:type="dxa"/>
        </w:tblCellMar>
      </w:tblPr>
      <w:tblGrid>
        <w:gridCol w:w="1978"/>
        <w:gridCol w:w="1911"/>
        <w:gridCol w:w="1716"/>
        <w:gridCol w:w="1716"/>
      </w:tblGrid>
      <w:tr>
        <w:tblPrEx>
          <w:tblCellMar>
            <w:top w:w="0" w:type="dxa"/>
            <w:left w:w="108" w:type="dxa"/>
            <w:bottom w:w="0" w:type="dxa"/>
            <w:right w:w="108" w:type="dxa"/>
          </w:tblCellMar>
        </w:tblPrEx>
        <w:trPr>
          <w:trHeight w:val="344" w:hRule="atLeast"/>
          <w:jc w:val="center"/>
        </w:trPr>
        <w:tc>
          <w:tcPr>
            <w:tcW w:w="3889" w:type="dxa"/>
            <w:gridSpan w:val="2"/>
            <w:tcBorders>
              <w:top w:val="single" w:color="auto" w:sz="4" w:space="0"/>
              <w:left w:val="single" w:color="auto" w:sz="4" w:space="0"/>
              <w:bottom w:val="single" w:color="auto" w:sz="4" w:space="0"/>
              <w:right w:val="single" w:color="auto" w:sz="4" w:space="0"/>
            </w:tcBorders>
            <w:shd w:val="clear" w:color="auto" w:fill="DCD8C2" w:themeFill="background2" w:themeFillShade="E5"/>
            <w:noWrap/>
            <w:vAlign w:val="center"/>
          </w:tcPr>
          <w:p>
            <w:pPr>
              <w:pStyle w:val="7"/>
              <w:jc w:val="center"/>
              <w:rPr>
                <w:rFonts w:ascii="宋体" w:hAnsi="宋体" w:eastAsia="宋体" w:cs="宋体"/>
                <w:sz w:val="21"/>
                <w:szCs w:val="21"/>
              </w:rPr>
            </w:pPr>
            <w:r>
              <w:rPr>
                <w:rFonts w:hint="eastAsia" w:ascii="宋体" w:hAnsi="宋体" w:eastAsia="宋体" w:cs="宋体"/>
                <w:sz w:val="21"/>
                <w:szCs w:val="21"/>
              </w:rPr>
              <w:t>国家免学费</w:t>
            </w:r>
          </w:p>
        </w:tc>
        <w:tc>
          <w:tcPr>
            <w:tcW w:w="3431" w:type="dxa"/>
            <w:gridSpan w:val="2"/>
            <w:tcBorders>
              <w:top w:val="single" w:color="auto" w:sz="4" w:space="0"/>
              <w:left w:val="nil"/>
              <w:bottom w:val="single" w:color="auto" w:sz="4" w:space="0"/>
              <w:right w:val="single" w:color="auto" w:sz="4" w:space="0"/>
            </w:tcBorders>
            <w:shd w:val="clear" w:color="auto" w:fill="DCD8C2" w:themeFill="background2" w:themeFillShade="E5"/>
            <w:noWrap/>
            <w:vAlign w:val="center"/>
          </w:tcPr>
          <w:p>
            <w:pPr>
              <w:pStyle w:val="7"/>
              <w:jc w:val="center"/>
              <w:rPr>
                <w:rFonts w:ascii="宋体" w:hAnsi="宋体" w:eastAsia="宋体" w:cs="宋体"/>
                <w:sz w:val="21"/>
                <w:szCs w:val="21"/>
              </w:rPr>
            </w:pPr>
            <w:r>
              <w:rPr>
                <w:rFonts w:hint="eastAsia" w:ascii="宋体" w:hAnsi="宋体" w:eastAsia="宋体" w:cs="宋体"/>
                <w:sz w:val="21"/>
                <w:szCs w:val="21"/>
              </w:rPr>
              <w:t>国家助学金</w:t>
            </w:r>
          </w:p>
        </w:tc>
      </w:tr>
      <w:tr>
        <w:tblPrEx>
          <w:tblCellMar>
            <w:top w:w="0" w:type="dxa"/>
            <w:left w:w="108" w:type="dxa"/>
            <w:bottom w:w="0" w:type="dxa"/>
            <w:right w:w="108" w:type="dxa"/>
          </w:tblCellMar>
        </w:tblPrEx>
        <w:trPr>
          <w:trHeight w:val="90" w:hRule="atLeast"/>
          <w:jc w:val="center"/>
        </w:trPr>
        <w:tc>
          <w:tcPr>
            <w:tcW w:w="1978" w:type="dxa"/>
            <w:tcBorders>
              <w:top w:val="nil"/>
              <w:left w:val="single" w:color="auto" w:sz="4" w:space="0"/>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当年数</w:t>
            </w:r>
          </w:p>
        </w:tc>
        <w:tc>
          <w:tcPr>
            <w:tcW w:w="1911" w:type="dxa"/>
            <w:tcBorders>
              <w:top w:val="nil"/>
              <w:left w:val="nil"/>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上年数</w:t>
            </w:r>
          </w:p>
        </w:tc>
        <w:tc>
          <w:tcPr>
            <w:tcW w:w="1716" w:type="dxa"/>
            <w:tcBorders>
              <w:top w:val="nil"/>
              <w:left w:val="nil"/>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当年数</w:t>
            </w:r>
          </w:p>
        </w:tc>
        <w:tc>
          <w:tcPr>
            <w:tcW w:w="1716" w:type="dxa"/>
            <w:tcBorders>
              <w:top w:val="nil"/>
              <w:left w:val="nil"/>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上年数</w:t>
            </w:r>
          </w:p>
        </w:tc>
      </w:tr>
      <w:tr>
        <w:tblPrEx>
          <w:tblCellMar>
            <w:top w:w="0" w:type="dxa"/>
            <w:left w:w="108" w:type="dxa"/>
            <w:bottom w:w="0" w:type="dxa"/>
            <w:right w:w="108" w:type="dxa"/>
          </w:tblCellMar>
        </w:tblPrEx>
        <w:trPr>
          <w:trHeight w:val="90" w:hRule="atLeast"/>
          <w:jc w:val="center"/>
        </w:trPr>
        <w:tc>
          <w:tcPr>
            <w:tcW w:w="1978" w:type="dxa"/>
            <w:tcBorders>
              <w:top w:val="nil"/>
              <w:left w:val="single" w:color="auto" w:sz="4" w:space="0"/>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577.05万</w:t>
            </w:r>
          </w:p>
        </w:tc>
        <w:tc>
          <w:tcPr>
            <w:tcW w:w="1911" w:type="dxa"/>
            <w:tcBorders>
              <w:top w:val="nil"/>
              <w:left w:val="nil"/>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455.49万</w:t>
            </w:r>
          </w:p>
        </w:tc>
        <w:tc>
          <w:tcPr>
            <w:tcW w:w="1716" w:type="dxa"/>
            <w:tcBorders>
              <w:top w:val="nil"/>
              <w:left w:val="nil"/>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9.24万</w:t>
            </w:r>
          </w:p>
        </w:tc>
        <w:tc>
          <w:tcPr>
            <w:tcW w:w="1716" w:type="dxa"/>
            <w:tcBorders>
              <w:top w:val="nil"/>
              <w:left w:val="nil"/>
              <w:bottom w:val="single" w:color="auto" w:sz="4" w:space="0"/>
              <w:right w:val="single" w:color="auto" w:sz="4" w:space="0"/>
            </w:tcBorders>
            <w:shd w:val="clear" w:color="auto" w:fill="auto"/>
            <w:noWrap/>
            <w:vAlign w:val="center"/>
          </w:tcPr>
          <w:p>
            <w:pPr>
              <w:pStyle w:val="7"/>
              <w:jc w:val="center"/>
              <w:rPr>
                <w:rFonts w:ascii="宋体" w:hAnsi="宋体" w:eastAsia="宋体" w:cs="宋体"/>
                <w:b w:val="0"/>
                <w:bCs/>
                <w:sz w:val="21"/>
                <w:szCs w:val="21"/>
              </w:rPr>
            </w:pPr>
            <w:r>
              <w:rPr>
                <w:rFonts w:hint="eastAsia" w:ascii="宋体" w:hAnsi="宋体" w:eastAsia="宋体" w:cs="宋体"/>
                <w:b w:val="0"/>
                <w:bCs/>
                <w:sz w:val="21"/>
                <w:szCs w:val="21"/>
              </w:rPr>
              <w:t>10.80万</w:t>
            </w:r>
          </w:p>
        </w:tc>
      </w:tr>
    </w:tbl>
    <w:p>
      <w:pPr>
        <w:pStyle w:val="19"/>
        <w:spacing w:line="360" w:lineRule="auto"/>
        <w:ind w:firstLine="420" w:firstLineChars="20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表6：财政拨款情况</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6.2地方政策落实</w:t>
      </w:r>
    </w:p>
    <w:p>
      <w:pPr>
        <w:pStyle w:val="19"/>
        <w:spacing w:line="360" w:lineRule="auto"/>
        <w:ind w:firstLine="560" w:firstLineChars="200"/>
        <w:jc w:val="both"/>
        <w:rPr>
          <w:rFonts w:hint="eastAsia" w:asciiTheme="minorEastAsia" w:hAnsiTheme="minorEastAsia" w:eastAsiaTheme="minorEastAsia"/>
          <w:b/>
          <w:bCs/>
          <w:sz w:val="28"/>
          <w:szCs w:val="28"/>
        </w:rPr>
      </w:pPr>
      <w:r>
        <w:rPr>
          <w:rFonts w:hint="eastAsia" w:asciiTheme="minorEastAsia" w:hAnsiTheme="minorEastAsia" w:eastAsiaTheme="minorEastAsia"/>
          <w:sz w:val="28"/>
          <w:szCs w:val="28"/>
        </w:rPr>
        <w:t>为贯彻全国职业教育大会精神，落实2022年《政府工作报告》中关于“改善职业教育办学条件”的决策部署，学校按照关于做好中等职业学校办学条件达标分类自查工作的通知，对学校的办学条件进行自查，对学校办学条件进行改善提升。为实现A类学校达标，学校成立达标工作领导小组。1.在组织动员阶段，对学校的校园占地总面积、校舍建筑总面积、专任教师总数、仪器设备总值、图书总数、计算机总数进行排查，制定工作计划方案，明确工作职责。2.在加强建设方面，学校查缺补漏，对教学楼、宿舍楼等建筑进行加固维修，与有资质的检测机构联系，对学校的校园建筑进行质量检测，使未达标的建筑获得相应资质，从而增加校园建筑面积。3.在仪器设备方面，学校加大投资力度，增添多媒体教学设施，更新实训设备设施。4.在教师配备方面，学校招聘吸收优秀人才，提升在校教师的职业素养，加强师资队伍的建设。</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6.3学校治理</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实行理事会领导下的校长负责制，具有适合自身的学校章程，各项制度健全，办学行为规范，推进以教职工代表大会为主体的民主监督体系建设。1.建立并不断完善教代会和校务委员会制度，充分发动教职员工积极参与学校管理，监督各级领导成员的敬业精神和效劳质量。2.以“校长接待日”“学生咨询日”“合理化建议日”“校长信箱”等方式，加强教师、学生与领导之间的沟通，建立新型的人际关系，从而改良学校工作。3.教职工代表大会每年举行一次。会间由校长向大会报告工作，并充分听取教职工代表的意见和建议。教代会闭会期间，由学校工会组织代行其职能。4.学生代表会议每年举行一次。会间，由校长向大会报告工作，认真听取学生代表对学校工作的意见。学生代表会议闭会期间，由学生会代行其职能。</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6.4 质量保证体系建设</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学校出台实施性人才培养方案12个，严格按照国家有关规定开齐开足公共基础课程，科学设置专业（技能）课程，按计划开发选修课。</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6.4.1教学诊断改进与过程监控体系建设</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坚持三大原则。1.“三全”原则。全员参与、全面覆盖、全程诊改，让诊改工作成为一种常态，常做常新。按照年度为单位循环，持续进行，有效改进，逐步改进，逐步完善常态化教学工作诊断与改进制度体系。2.自主原则。在教学工作诊改行动中，以问题为导向，自主查找补齐短板；以社会需求为导向，促进产教深度融合。3.质量第一原则。中等职业学校教学工作诊改的核心是质量，对象是“三个基本”。“基本办学方向”是中等职业学校办学质量的根本，“基本办学条件”是中等职业学校办学质量的基础，“基本管理规范”是中等职业学校办学质量的保障，体现办学质量的主要指标是人才培养的质量。</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6.4.2学业水平考试制度教学质量评价体系</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学校规范管理的框架内，根据专业特点，制定符合各自专业特征的教学管理考核办法以及绩效工资积分考核方案，充分发挥基层管理的主动性和实战性。建立较为完善的教学督导、学生评教、教师听课、教师评教、评学制度和学生综合评价体系，形成由教学质量监控运行系统、教学信息收集与处理系统、教学质量监控调控系统组成的教学质量监控体系。</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6.4.3学业水平考试情况</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学校参加江苏省学业水平考试的学生732人，语文合格率78%，数学合格率62%，思想政治合格率93%，英语合格率84%，专业基础理论课合格率87%，专业基本技能合格率76%，省学考通过率51%。</w:t>
      </w:r>
    </w:p>
    <w:p>
      <w:pPr>
        <w:pStyle w:val="19"/>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114300" distR="114300">
            <wp:extent cx="4927600" cy="2033270"/>
            <wp:effectExtent l="4445" t="4445" r="5715" b="1968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9"/>
        <w:spacing w:line="360" w:lineRule="auto"/>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图1</w:t>
      </w: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rPr>
        <w:t>：学业水平考试情况对比</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通过考试成绩的分析，可了解教师的教学活动是否存在一定的缺陷以及学生的学习状态和兴趣。同时在客观上起着“指挥棒”作用，引导教师与学生进一步明确教学目标、重点与难点，克服教学中的偏差与弊端，使教育实践与研究沿着正确的航向前行。</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6.5经费投入</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学校虽为民办学校，但为提高教学质量，实现学校总体发展规划和人才培养目标，保证教学经费及时、足额投入到教学工作中，根据教学工作的需要，统筹安排和使用各项教学经费，由学校进行分级管理，使教学工作的中心地位在经费预算中得以体现。为保证人才培养的质量，学校每年投入的日常教学经费不少于当年收入总额的32%，且保证生均日常教学经费逐年增长。</w:t>
      </w:r>
    </w:p>
    <w:p>
      <w:pPr>
        <w:pStyle w:val="19"/>
        <w:spacing w:line="360" w:lineRule="auto"/>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学校建立健全的财务和资产管理制度，资金的收入和支出严格按照学校财务管理制度执行。在专项资产管理上，学校明确相关人员的责任，按要求、按预算、按程序管理好项目资金，生均拨款、项目投入经费能及时到位，严格执行财务制度，保证财务、资产管理制度的健全、规范及执行的有效性。</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7.挑战与展望</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7.1 面临挑战</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挑战1：还需进一步加强学校师资力量的建设。</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1.学校现有的教师队伍从教学经验、职称、双师、学历、与学科相匹配的教师资格证持有度等方面来看，整体水平不够高。</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2.师资队伍极其不稳定，流动性较大，极不利于学校的教学管理以及教学质量的提高；班主任队伍建设薄弱。</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3.大市级骨干教师、学科带头人、名师工作室、市级教育科研等均未实现零突破。</w:t>
      </w:r>
      <w:bookmarkStart w:id="3" w:name="_GoBack"/>
      <w:bookmarkEnd w:id="3"/>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4.教师教学能力水平有待提升，各类教学比赛成绩不够突出。</w:t>
      </w:r>
    </w:p>
    <w:p>
      <w:pPr>
        <w:pStyle w:val="19"/>
        <w:spacing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5.学校在“双师型”教师队伍建设、教师教学创新团队、名师工作室等方面未见明显成效。</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挑战2：还需进一步突出学校特色专业的创建。</w:t>
      </w:r>
    </w:p>
    <w:p>
      <w:pPr>
        <w:spacing w:after="0" w:line="360" w:lineRule="auto"/>
        <w:ind w:firstLine="560" w:firstLineChars="200"/>
        <w:jc w:val="both"/>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在专业建设上，学校特色专业不够突出，创新办法不多，特色专业建设水平不够高，目前还未建设省级品牌特色专业和省职业学校现代化专业群。</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挑战3：还需进一步推进学校教学设施的升级。</w:t>
      </w:r>
    </w:p>
    <w:p>
      <w:pPr>
        <w:pStyle w:val="19"/>
        <w:spacing w:line="360" w:lineRule="auto"/>
        <w:ind w:firstLine="560" w:firstLineChars="200"/>
        <w:jc w:val="both"/>
        <w:rPr>
          <w:rFonts w:asciiTheme="minorEastAsia" w:hAnsiTheme="minorEastAsia" w:eastAsiaTheme="minorEastAsia"/>
          <w:b/>
          <w:bCs/>
          <w:sz w:val="28"/>
          <w:szCs w:val="28"/>
        </w:rPr>
      </w:pPr>
      <w:r>
        <w:rPr>
          <w:rFonts w:hint="eastAsia" w:asciiTheme="minorEastAsia" w:hAnsiTheme="minorEastAsia" w:eastAsiaTheme="minorEastAsia"/>
          <w:sz w:val="28"/>
          <w:szCs w:val="28"/>
        </w:rPr>
        <w:t>学校的大部分硬件设施不符合最新标准，设备老旧，更新换代的步伐严重滞后。信息化教学配备硬软件不到位，欠缺各类仪器设备，实训教室设施设备不足，无法满足不同专业学生学习和实践需要。</w:t>
      </w:r>
    </w:p>
    <w:p>
      <w:pPr>
        <w:pStyle w:val="19"/>
        <w:spacing w:line="360" w:lineRule="auto"/>
        <w:ind w:firstLine="562" w:firstLineChars="200"/>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7.2未来展望</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1.加强校园建设。增加校舍建筑面积，扩大学校规模，增添更多的设备设施，如增加多媒体教室的建设数量，添置、更新、维护各专业实训设备设施，增设实训教室。</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2.增加图书配备。计划增加新的图书室，创建电子阅览室，扩大藏书量，培养学生的阅读兴趣，满足不同专业学生的阅读需求。</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3.组建高质量教师队伍。</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①加大教师招聘的数量。原则上优先招聘985、211院校的毕业生，积极引进高职称、高技能专业人才，加强学校师资力量。</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②注重师德培养，增强爱岗敬业意识。“成才先成人，育人先育德”，本着“一切为了学生，为了一切学生，为了学生的一切”的原则来关爱学生，为人师表，言传身教。</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③加强教科研队伍建设。大力加强教师教科研能力，鼓励教师理论联系实际，积极争做“双师型”教师和学科带头人，鼓励教师多元化发展。</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④健全班主任和后备干部成长发展机制。积极探索班级管理体制，完善班主任待遇提升保障机制，增强班主任岗位吸引力；全力办好后备干部培训班，使后备人员在实践锻炼中开拓眼界、拓宽思路、增长才干，从而建立一支学生喜欢、家长满意、具有科学管理能力、民主管理思想的学生工作管理队伍。</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4. 积极开展校企合作，让学生学会真本事。</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①学生在校期间学好专业理论知识(动漫制作、化妆、影视拍摄、摄影、灯光、影视后期制作等)，参加院线电影拍摄、院线动画电影制作、舞台剧演出等。</w:t>
      </w:r>
    </w:p>
    <w:p>
      <w:pPr>
        <w:spacing w:after="0" w:line="360" w:lineRule="auto"/>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②与相关企业单位合作，在学生学有余力的情况下，在课余时间对学生展开多种职业技能培训。</w:t>
      </w:r>
    </w:p>
    <w:p>
      <w:pPr>
        <w:spacing w:after="0" w:line="360" w:lineRule="auto"/>
        <w:ind w:firstLine="560" w:firstLineChars="200"/>
        <w:jc w:val="both"/>
        <w:rPr>
          <w:rFonts w:hint="eastAsia" w:asciiTheme="minorEastAsia" w:hAnsiTheme="minorEastAsia" w:eastAsiaTheme="minorEastAsia"/>
          <w:sz w:val="28"/>
          <w:szCs w:val="28"/>
        </w:rPr>
      </w:pPr>
    </w:p>
    <w:p>
      <w:pPr>
        <w:spacing w:after="0" w:line="360" w:lineRule="auto"/>
        <w:ind w:firstLine="560" w:firstLineChars="200"/>
        <w:jc w:val="both"/>
        <w:rPr>
          <w:rFonts w:asciiTheme="minorEastAsia" w:hAnsiTheme="minorEastAsia" w:eastAsiaTheme="minorEastAsia"/>
          <w:color w:val="FF0000"/>
          <w:sz w:val="28"/>
          <w:szCs w:val="28"/>
        </w:rPr>
      </w:pPr>
    </w:p>
    <w:p>
      <w:pPr>
        <w:spacing w:after="0" w:line="360" w:lineRule="auto"/>
        <w:ind w:firstLine="560" w:firstLineChars="200"/>
        <w:jc w:val="both"/>
        <w:rPr>
          <w:rFonts w:asciiTheme="minorEastAsia" w:hAnsiTheme="minorEastAsia" w:eastAsiaTheme="minorEastAsia"/>
          <w:color w:val="FF0000"/>
          <w:sz w:val="28"/>
          <w:szCs w:val="28"/>
        </w:rPr>
      </w:pPr>
    </w:p>
    <w:p>
      <w:pPr>
        <w:pStyle w:val="19"/>
        <w:spacing w:line="360" w:lineRule="auto"/>
        <w:ind w:firstLine="560" w:firstLineChars="200"/>
        <w:jc w:val="both"/>
        <w:rPr>
          <w:rFonts w:asciiTheme="minorEastAsia" w:hAnsiTheme="minorEastAsia" w:eastAsiaTheme="minorEastAsia"/>
          <w:color w:val="FF0000"/>
          <w:sz w:val="28"/>
          <w:szCs w:val="28"/>
        </w:rPr>
      </w:pP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p>
  <w:p>
    <w:pPr>
      <w:widowControl w:val="0"/>
      <w:rPr>
        <w:rFonts w:ascii="Times New Roman" w:hAnsi="Times New Roman" w:eastAsia="宋体" w:cs="Times New Roman"/>
        <w:kern w:val="2"/>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p>
  <w:p>
    <w:pPr>
      <w:widowControl w:val="0"/>
      <w:rPr>
        <w:rFonts w:ascii="Times New Roman" w:hAnsi="Times New Roman" w:eastAsia="宋体" w:cs="Times New Roman"/>
        <w:kern w:val="2"/>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p>
  <w:p>
    <w:pPr>
      <w:widowControl w:val="0"/>
      <w:rPr>
        <w:rFonts w:ascii="Times New Roman" w:hAnsi="Times New Roman" w:eastAsia="宋体" w:cs="Times New Roman"/>
        <w:kern w:val="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w:r>
  </w:p>
  <w:p>
    <w:pPr>
      <w:widowControl w:val="0"/>
      <w:rPr>
        <w:rFonts w:ascii="Times New Roman" w:hAnsi="Times New Roman" w:eastAsia="宋体" w:cs="Times New Roman"/>
        <w:kern w:val="2"/>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w:r>
  </w:p>
  <w:p>
    <w:pPr>
      <w:widowControl w:val="0"/>
      <w:rPr>
        <w:rFonts w:ascii="Times New Roman" w:hAnsi="Times New Roman" w:eastAsia="宋体" w:cs="Times New Roman"/>
        <w:kern w:val="2"/>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w:r>
  </w:p>
  <w:p>
    <w:pPr>
      <w:widowControl w:val="0"/>
      <w:rPr>
        <w:rFonts w:ascii="Times New Roman" w:hAnsi="Times New Roman" w:eastAsia="宋体" w:cs="Times New Roman"/>
        <w:kern w:val="2"/>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r>
      <w:rPr>
        <w:sz w:val="18"/>
      </w:rP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w:r>
  </w:p>
  <w:p>
    <w:pPr>
      <w:widowControl w:val="0"/>
      <w:rPr>
        <w:rFonts w:ascii="Times New Roman" w:hAnsi="Times New Roman" w:eastAsia="宋体" w:cs="Times New Roman"/>
        <w:kern w:val="2"/>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Times New Roman" w:hAnsi="Times New Roman" w:eastAsia="宋体" w:cs="Times New Roman"/>
        <w:kern w:val="2"/>
        <w:sz w:val="18"/>
        <w:szCs w:val="18"/>
      </w:rPr>
    </w:pPr>
    <w:r>
      <w:rPr>
        <w:sz w:val="18"/>
      </w:rP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w:r>
  </w:p>
  <w:p>
    <w:pPr>
      <w:widowControl w:val="0"/>
      <w:rPr>
        <w:rFonts w:ascii="Times New Roman" w:hAnsi="Times New Roman" w:eastAsia="宋体" w:cs="Times New Roman"/>
        <w:kern w:val="2"/>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pict>
        <v:shape id="_x0000_s3079" o:spid="_x0000_s307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30</w:t>
                </w:r>
                <w:r>
                  <w:fldChar w:fldCharType="end"/>
                </w:r>
              </w:p>
            </w:txbxContent>
          </v:textbox>
        </v:shape>
      </w:pict>
    </w:r>
  </w:p>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hdrShapeDefaults>
    <o:shapelayout v:ext="edit">
      <o:idmap v:ext="edit" data="3"/>
    </o:shapelayout>
  </w:hdrShapeDefaults>
  <w:footnotePr>
    <w:footnote w:id="0"/>
    <w:footnote w:id="1"/>
  </w:footnotePr>
  <w:compat>
    <w:doNotExpandShiftReturn/>
    <w:doNotWrapTextWithPunct/>
    <w:doNotUseEastAsianBreakRules/>
    <w:useFELayout/>
    <w:doNotUseIndentAsNumberingTabStop/>
    <w:compatSetting w:name="compatibilityMode" w:uri="http://schemas.microsoft.com/office/word" w:val="12"/>
  </w:compat>
  <w:docVars>
    <w:docVar w:name="commondata" w:val="eyJoZGlkIjoiZGM2YTEwZDQ2YzQyNzg2YmNkNjBkNzFkNWE1OTRlMTMifQ=="/>
  </w:docVars>
  <w:rsids>
    <w:rsidRoot w:val="00D31D50"/>
    <w:rsid w:val="0004261C"/>
    <w:rsid w:val="0004411D"/>
    <w:rsid w:val="000466B4"/>
    <w:rsid w:val="00073269"/>
    <w:rsid w:val="00075691"/>
    <w:rsid w:val="000764E7"/>
    <w:rsid w:val="00093D76"/>
    <w:rsid w:val="000C0CC8"/>
    <w:rsid w:val="000C3B4E"/>
    <w:rsid w:val="00111F25"/>
    <w:rsid w:val="001758CD"/>
    <w:rsid w:val="001A612A"/>
    <w:rsid w:val="001B5B3B"/>
    <w:rsid w:val="001D0AE0"/>
    <w:rsid w:val="002065E8"/>
    <w:rsid w:val="00207A27"/>
    <w:rsid w:val="00213462"/>
    <w:rsid w:val="00225DF7"/>
    <w:rsid w:val="002453FF"/>
    <w:rsid w:val="002556B9"/>
    <w:rsid w:val="0025764D"/>
    <w:rsid w:val="002A1A7C"/>
    <w:rsid w:val="002C0660"/>
    <w:rsid w:val="002C42FB"/>
    <w:rsid w:val="00304764"/>
    <w:rsid w:val="00323B43"/>
    <w:rsid w:val="00343452"/>
    <w:rsid w:val="00366343"/>
    <w:rsid w:val="003A6D18"/>
    <w:rsid w:val="003C579D"/>
    <w:rsid w:val="003D37D8"/>
    <w:rsid w:val="0040587D"/>
    <w:rsid w:val="00407524"/>
    <w:rsid w:val="00426133"/>
    <w:rsid w:val="0042694A"/>
    <w:rsid w:val="004358AB"/>
    <w:rsid w:val="0046477F"/>
    <w:rsid w:val="004934DF"/>
    <w:rsid w:val="004974A3"/>
    <w:rsid w:val="004C535D"/>
    <w:rsid w:val="004D6A7D"/>
    <w:rsid w:val="00565C48"/>
    <w:rsid w:val="00572587"/>
    <w:rsid w:val="005A2BBB"/>
    <w:rsid w:val="005F536D"/>
    <w:rsid w:val="006100CE"/>
    <w:rsid w:val="00622CAC"/>
    <w:rsid w:val="00631DF0"/>
    <w:rsid w:val="00670F00"/>
    <w:rsid w:val="00680753"/>
    <w:rsid w:val="006845F5"/>
    <w:rsid w:val="006C0EF2"/>
    <w:rsid w:val="006D023D"/>
    <w:rsid w:val="006D390E"/>
    <w:rsid w:val="007A3B76"/>
    <w:rsid w:val="007C303B"/>
    <w:rsid w:val="00881537"/>
    <w:rsid w:val="00887013"/>
    <w:rsid w:val="008952E2"/>
    <w:rsid w:val="008A1757"/>
    <w:rsid w:val="008B7726"/>
    <w:rsid w:val="008D6300"/>
    <w:rsid w:val="008E3ACB"/>
    <w:rsid w:val="008E450F"/>
    <w:rsid w:val="00901527"/>
    <w:rsid w:val="00902E7A"/>
    <w:rsid w:val="00907776"/>
    <w:rsid w:val="00961FE9"/>
    <w:rsid w:val="00A00607"/>
    <w:rsid w:val="00A91B75"/>
    <w:rsid w:val="00AE246D"/>
    <w:rsid w:val="00B105BD"/>
    <w:rsid w:val="00B12E15"/>
    <w:rsid w:val="00B15E63"/>
    <w:rsid w:val="00B24806"/>
    <w:rsid w:val="00B7611C"/>
    <w:rsid w:val="00B96EEF"/>
    <w:rsid w:val="00BB0EDE"/>
    <w:rsid w:val="00BB4D62"/>
    <w:rsid w:val="00BB528B"/>
    <w:rsid w:val="00BD60FB"/>
    <w:rsid w:val="00BE1784"/>
    <w:rsid w:val="00BE400B"/>
    <w:rsid w:val="00BE6EE8"/>
    <w:rsid w:val="00C15765"/>
    <w:rsid w:val="00C22E14"/>
    <w:rsid w:val="00C30DC3"/>
    <w:rsid w:val="00C5332B"/>
    <w:rsid w:val="00C957E7"/>
    <w:rsid w:val="00CA3B32"/>
    <w:rsid w:val="00CF16AF"/>
    <w:rsid w:val="00D11C0D"/>
    <w:rsid w:val="00D31D50"/>
    <w:rsid w:val="00D37A2A"/>
    <w:rsid w:val="00D70F8B"/>
    <w:rsid w:val="00D740A6"/>
    <w:rsid w:val="00D94AEC"/>
    <w:rsid w:val="00DB4D99"/>
    <w:rsid w:val="00E302E1"/>
    <w:rsid w:val="00E61CDB"/>
    <w:rsid w:val="00E8251E"/>
    <w:rsid w:val="00FA4303"/>
    <w:rsid w:val="00FC4D44"/>
    <w:rsid w:val="00FF2CEE"/>
    <w:rsid w:val="05D254BA"/>
    <w:rsid w:val="08AC32C8"/>
    <w:rsid w:val="09936AEF"/>
    <w:rsid w:val="0BD55995"/>
    <w:rsid w:val="0C1032CE"/>
    <w:rsid w:val="0E6844E2"/>
    <w:rsid w:val="0EE33CAC"/>
    <w:rsid w:val="10A2705C"/>
    <w:rsid w:val="11CC5193"/>
    <w:rsid w:val="142653E2"/>
    <w:rsid w:val="16ED68C1"/>
    <w:rsid w:val="17C3509D"/>
    <w:rsid w:val="1A964EAC"/>
    <w:rsid w:val="1D923D8E"/>
    <w:rsid w:val="1EE35546"/>
    <w:rsid w:val="226B6612"/>
    <w:rsid w:val="274F09CD"/>
    <w:rsid w:val="29767C2D"/>
    <w:rsid w:val="29CF1E07"/>
    <w:rsid w:val="29D30811"/>
    <w:rsid w:val="2A431BC6"/>
    <w:rsid w:val="2B7E0C06"/>
    <w:rsid w:val="2FDE3462"/>
    <w:rsid w:val="32E16842"/>
    <w:rsid w:val="33E470CA"/>
    <w:rsid w:val="350A6784"/>
    <w:rsid w:val="3A4A3A60"/>
    <w:rsid w:val="3B03072B"/>
    <w:rsid w:val="3CBF226A"/>
    <w:rsid w:val="3D0575D8"/>
    <w:rsid w:val="3F646DBC"/>
    <w:rsid w:val="46B149C6"/>
    <w:rsid w:val="46BD5C21"/>
    <w:rsid w:val="4BE248AE"/>
    <w:rsid w:val="4E5D3731"/>
    <w:rsid w:val="4FA0465B"/>
    <w:rsid w:val="56B3060F"/>
    <w:rsid w:val="56D60D89"/>
    <w:rsid w:val="574C3E5A"/>
    <w:rsid w:val="5B9C4EF3"/>
    <w:rsid w:val="604B7CD1"/>
    <w:rsid w:val="64846D27"/>
    <w:rsid w:val="64A44058"/>
    <w:rsid w:val="6545643D"/>
    <w:rsid w:val="66A57D1B"/>
    <w:rsid w:val="678946A1"/>
    <w:rsid w:val="69672D49"/>
    <w:rsid w:val="6D4C5843"/>
    <w:rsid w:val="6ECB79A1"/>
    <w:rsid w:val="74794D5D"/>
    <w:rsid w:val="776E1C43"/>
    <w:rsid w:val="77B42B84"/>
    <w:rsid w:val="78575AD1"/>
    <w:rsid w:val="78FC6FE9"/>
    <w:rsid w:val="7A0E1BDE"/>
    <w:rsid w:val="7B3A6166"/>
    <w:rsid w:val="7D8522E1"/>
    <w:rsid w:val="7E1F7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2" w:lineRule="auto"/>
      <w:outlineLvl w:val="4"/>
    </w:pPr>
    <w:rPr>
      <w:b/>
      <w:sz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unhideWhenUsed/>
    <w:qFormat/>
    <w:uiPriority w:val="9"/>
    <w:pPr>
      <w:keepNext/>
      <w:keepLines/>
      <w:spacing w:before="240" w:after="64" w:line="317" w:lineRule="auto"/>
      <w:outlineLvl w:val="6"/>
    </w:pPr>
    <w:rPr>
      <w:b/>
      <w:sz w:val="24"/>
    </w:rPr>
  </w:style>
  <w:style w:type="character" w:default="1" w:styleId="17">
    <w:name w:val="Default Paragraph Font"/>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20"/>
    <w:semiHidden/>
    <w:unhideWhenUsed/>
    <w:qFormat/>
    <w:uiPriority w:val="99"/>
    <w:pPr>
      <w:spacing w:after="0"/>
    </w:pPr>
    <w:rPr>
      <w:sz w:val="18"/>
      <w:szCs w:val="18"/>
    </w:rPr>
  </w:style>
  <w:style w:type="paragraph" w:styleId="10">
    <w:name w:val="footer"/>
    <w:basedOn w:val="1"/>
    <w:qFormat/>
    <w:uiPriority w:val="99"/>
    <w:pPr>
      <w:tabs>
        <w:tab w:val="center" w:pos="4153"/>
        <w:tab w:val="right" w:pos="8306"/>
      </w:tabs>
    </w:pPr>
    <w:rPr>
      <w:sz w:val="18"/>
      <w:szCs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uiPriority w:val="0"/>
  </w:style>
  <w:style w:type="paragraph" w:styleId="13">
    <w:name w:val="toc 2"/>
    <w:basedOn w:val="1"/>
    <w:next w:val="1"/>
    <w:uiPriority w:val="0"/>
    <w:pPr>
      <w:ind w:left="200" w:leftChars="200"/>
    </w:pPr>
  </w:style>
  <w:style w:type="paragraph" w:styleId="14">
    <w:name w:val="Normal (Web)"/>
    <w:basedOn w:val="1"/>
    <w:qFormat/>
    <w:uiPriority w:val="0"/>
    <w:rPr>
      <w:rFonts w:cs="Times New Roman"/>
      <w:sz w:val="24"/>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qFormat/>
    <w:uiPriority w:val="0"/>
    <w:rPr>
      <w:color w:val="000000"/>
      <w:sz w:val="14"/>
      <w:szCs w:val="14"/>
      <w:u w:val="none"/>
    </w:rPr>
  </w:style>
  <w:style w:type="paragraph" w:styleId="19">
    <w:name w:val="No Spacing"/>
    <w:qFormat/>
    <w:uiPriority w:val="1"/>
    <w:pPr>
      <w:adjustRightInd w:val="0"/>
      <w:snapToGrid w:val="0"/>
    </w:pPr>
    <w:rPr>
      <w:rFonts w:ascii="Tahoma" w:hAnsi="Tahoma" w:eastAsia="微软雅黑" w:cstheme="minorBidi"/>
      <w:sz w:val="22"/>
      <w:szCs w:val="22"/>
      <w:lang w:val="en-US" w:eastAsia="zh-CN" w:bidi="ar-SA"/>
    </w:rPr>
  </w:style>
  <w:style w:type="character" w:customStyle="1" w:styleId="20">
    <w:name w:val="批注框文本 Char"/>
    <w:basedOn w:val="17"/>
    <w:link w:val="9"/>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chart" Target="charts/chart4.xml"/><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chart" Target="charts/chart3.xml"/><Relationship Id="rId22" Type="http://schemas.openxmlformats.org/officeDocument/2006/relationships/image" Target="media/image7.jpeg"/><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文化课合格率</c:v>
                </c:pt>
                <c:pt idx="1">
                  <c:v>专业技能合格率</c:v>
                </c:pt>
                <c:pt idx="2">
                  <c:v>体质测评合格率</c:v>
                </c:pt>
                <c:pt idx="3">
                  <c:v>毕业率</c:v>
                </c:pt>
              </c:strCache>
            </c:strRef>
          </c:cat>
          <c:val>
            <c:numRef>
              <c:f>Sheet1!$B$2:$B$5</c:f>
              <c:numCache>
                <c:formatCode>General</c:formatCode>
                <c:ptCount val="4"/>
                <c:pt idx="0">
                  <c:v>59.41</c:v>
                </c:pt>
                <c:pt idx="1">
                  <c:v>73</c:v>
                </c:pt>
                <c:pt idx="2">
                  <c:v>60.93</c:v>
                </c:pt>
                <c:pt idx="3">
                  <c:v>99</c:v>
                </c:pt>
              </c:numCache>
            </c:numRef>
          </c:val>
        </c:ser>
        <c:ser>
          <c:idx val="1"/>
          <c:order val="1"/>
          <c:tx>
            <c:strRef>
              <c:f>Sheet1!$C$1</c:f>
              <c:strCache>
                <c:ptCount val="1"/>
                <c:pt idx="0">
                  <c:v>2022年</c:v>
                </c:pt>
              </c:strCache>
            </c:strRef>
          </c:tx>
          <c:invertIfNegative val="0"/>
          <c:dLbls>
            <c:dLbl>
              <c:idx val="3"/>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99.32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文化课合格率</c:v>
                </c:pt>
                <c:pt idx="1">
                  <c:v>专业技能合格率</c:v>
                </c:pt>
                <c:pt idx="2">
                  <c:v>体质测评合格率</c:v>
                </c:pt>
                <c:pt idx="3">
                  <c:v>毕业率</c:v>
                </c:pt>
              </c:strCache>
            </c:strRef>
          </c:cat>
          <c:val>
            <c:numRef>
              <c:f>Sheet1!$C$2:$C$5</c:f>
              <c:numCache>
                <c:formatCode>General</c:formatCode>
                <c:ptCount val="4"/>
                <c:pt idx="0">
                  <c:v>54.63</c:v>
                </c:pt>
                <c:pt idx="1">
                  <c:v>76</c:v>
                </c:pt>
                <c:pt idx="2">
                  <c:v>74.6</c:v>
                </c:pt>
                <c:pt idx="3">
                  <c:v>99.32</c:v>
                </c:pt>
              </c:numCache>
            </c:numRef>
          </c:val>
        </c:ser>
        <c:dLbls>
          <c:showLegendKey val="0"/>
          <c:showVal val="1"/>
          <c:showCatName val="0"/>
          <c:showSerName val="0"/>
          <c:showPercent val="0"/>
          <c:showBubbleSize val="0"/>
        </c:dLbls>
        <c:gapWidth val="150"/>
        <c:overlap val="-25"/>
        <c:axId val="-356137328"/>
        <c:axId val="-356137872"/>
      </c:barChart>
      <c:catAx>
        <c:axId val="-35613732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137872"/>
        <c:crosses val="autoZero"/>
        <c:auto val="1"/>
        <c:lblAlgn val="ctr"/>
        <c:lblOffset val="100"/>
        <c:noMultiLvlLbl val="0"/>
      </c:catAx>
      <c:valAx>
        <c:axId val="-356137872"/>
        <c:scaling>
          <c:orientation val="minMax"/>
        </c:scaling>
        <c:delete val="1"/>
        <c:axPos val="l"/>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137328"/>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就业（含升学）</c:v>
                </c:pt>
                <c:pt idx="1">
                  <c:v>毕业生专业对口就业</c:v>
                </c:pt>
                <c:pt idx="2">
                  <c:v>毕业生服务第三产业</c:v>
                </c:pt>
              </c:strCache>
            </c:strRef>
          </c:cat>
          <c:val>
            <c:numRef>
              <c:f>Sheet1!$B$2:$B$4</c:f>
              <c:numCache>
                <c:formatCode>General</c:formatCode>
                <c:ptCount val="3"/>
                <c:pt idx="0">
                  <c:v>741</c:v>
                </c:pt>
                <c:pt idx="1">
                  <c:v>186</c:v>
                </c:pt>
                <c:pt idx="2">
                  <c:v>186</c:v>
                </c:pt>
              </c:numCache>
            </c:numRef>
          </c:val>
        </c:ser>
        <c:ser>
          <c:idx val="1"/>
          <c:order val="1"/>
          <c:tx>
            <c:strRef>
              <c:f>Sheet1!$C$1</c:f>
              <c:strCache>
                <c:ptCount val="1"/>
                <c:pt idx="0">
                  <c:v>2022年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就业（含升学）</c:v>
                </c:pt>
                <c:pt idx="1">
                  <c:v>毕业生专业对口就业</c:v>
                </c:pt>
                <c:pt idx="2">
                  <c:v>毕业生服务第三产业</c:v>
                </c:pt>
              </c:strCache>
            </c:strRef>
          </c:cat>
          <c:val>
            <c:numRef>
              <c:f>Sheet1!$C$2:$C$4</c:f>
              <c:numCache>
                <c:formatCode>General</c:formatCode>
                <c:ptCount val="3"/>
                <c:pt idx="0">
                  <c:v>732</c:v>
                </c:pt>
                <c:pt idx="1">
                  <c:v>7</c:v>
                </c:pt>
                <c:pt idx="2">
                  <c:v>5</c:v>
                </c:pt>
              </c:numCache>
            </c:numRef>
          </c:val>
        </c:ser>
        <c:dLbls>
          <c:showLegendKey val="0"/>
          <c:showVal val="1"/>
          <c:showCatName val="0"/>
          <c:showSerName val="0"/>
          <c:showPercent val="0"/>
          <c:showBubbleSize val="0"/>
        </c:dLbls>
        <c:gapWidth val="150"/>
        <c:overlap val="-25"/>
        <c:axId val="-356133520"/>
        <c:axId val="-356134064"/>
      </c:barChart>
      <c:catAx>
        <c:axId val="-3561335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356134064"/>
        <c:crosses val="autoZero"/>
        <c:auto val="1"/>
        <c:lblAlgn val="ctr"/>
        <c:lblOffset val="100"/>
        <c:noMultiLvlLbl val="0"/>
      </c:catAx>
      <c:valAx>
        <c:axId val="-356134064"/>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356133520"/>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spPr>
    <a:solidFill>
      <a:schemeClr val="lt1"/>
    </a:solidFill>
    <a:ln w="25400" cap="flat" cmpd="sng" algn="ctr">
      <a:solidFill>
        <a:schemeClr val="accent4"/>
      </a:solidFill>
      <a:prstDash val="solid"/>
      <a:round/>
    </a:ln>
    <a:effectLst/>
  </c:spPr>
  <c:txPr>
    <a:bodyPr/>
    <a:lstStyle/>
    <a:p>
      <a:pPr>
        <a:defRPr lang="zh-CN">
          <a:solidFill>
            <a:schemeClr val="dk1"/>
          </a:solidFill>
          <a:latin typeface="+mn-lt"/>
          <a:ea typeface="+mn-ea"/>
          <a:cs typeface="+mn-cs"/>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升学人数</c:v>
                </c:pt>
                <c:pt idx="1">
                  <c:v>职教高考升学人数</c:v>
                </c:pt>
              </c:strCache>
            </c:strRef>
          </c:cat>
          <c:val>
            <c:numRef>
              <c:f>Sheet1!$B$2:$B$3</c:f>
              <c:numCache>
                <c:formatCode>General</c:formatCode>
                <c:ptCount val="2"/>
                <c:pt idx="0">
                  <c:v>741</c:v>
                </c:pt>
                <c:pt idx="1">
                  <c:v>622</c:v>
                </c:pt>
              </c:numCache>
            </c:numRef>
          </c:val>
        </c:ser>
        <c:ser>
          <c:idx val="1"/>
          <c:order val="1"/>
          <c:tx>
            <c:strRef>
              <c:f>Sheet1!$C$1</c:f>
              <c:strCache>
                <c:ptCount val="1"/>
                <c:pt idx="0">
                  <c:v>2022年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升学人数</c:v>
                </c:pt>
                <c:pt idx="1">
                  <c:v>职教高考升学人数</c:v>
                </c:pt>
              </c:strCache>
            </c:strRef>
          </c:cat>
          <c:val>
            <c:numRef>
              <c:f>Sheet1!$C$2:$C$3</c:f>
              <c:numCache>
                <c:formatCode>General</c:formatCode>
                <c:ptCount val="2"/>
                <c:pt idx="0">
                  <c:v>725</c:v>
                </c:pt>
                <c:pt idx="1">
                  <c:v>685</c:v>
                </c:pt>
              </c:numCache>
            </c:numRef>
          </c:val>
        </c:ser>
        <c:dLbls>
          <c:showLegendKey val="0"/>
          <c:showVal val="1"/>
          <c:showCatName val="0"/>
          <c:showSerName val="0"/>
          <c:showPercent val="0"/>
          <c:showBubbleSize val="0"/>
        </c:dLbls>
        <c:gapWidth val="150"/>
        <c:overlap val="-25"/>
        <c:axId val="-356146576"/>
        <c:axId val="-356145488"/>
      </c:barChart>
      <c:catAx>
        <c:axId val="-35614657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145488"/>
        <c:crosses val="autoZero"/>
        <c:auto val="1"/>
        <c:lblAlgn val="ctr"/>
        <c:lblOffset val="100"/>
        <c:noMultiLvlLbl val="0"/>
      </c:catAx>
      <c:valAx>
        <c:axId val="-356145488"/>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146576"/>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delete val="1"/>
          </c:dLbls>
          <c:cat>
            <c:strRef>
              <c:f>Sheet1!$A$2:$A$6</c:f>
              <c:strCache>
                <c:ptCount val="5"/>
                <c:pt idx="0">
                  <c:v>语文合格率</c:v>
                </c:pt>
                <c:pt idx="1">
                  <c:v>数学合格率</c:v>
                </c:pt>
                <c:pt idx="2">
                  <c:v>思政合格率</c:v>
                </c:pt>
                <c:pt idx="3">
                  <c:v>英语合格率</c:v>
                </c:pt>
                <c:pt idx="4">
                  <c:v>省学测合格率</c:v>
                </c:pt>
              </c:strCache>
            </c:strRef>
          </c:cat>
          <c:val>
            <c:numRef>
              <c:f>Sheet1!$B$2:$B$6</c:f>
              <c:numCache>
                <c:formatCode>0%</c:formatCode>
                <c:ptCount val="5"/>
                <c:pt idx="0">
                  <c:v>0.67</c:v>
                </c:pt>
                <c:pt idx="1">
                  <c:v>0.53</c:v>
                </c:pt>
                <c:pt idx="2">
                  <c:v>0.76</c:v>
                </c:pt>
                <c:pt idx="3">
                  <c:v>0.67</c:v>
                </c:pt>
                <c:pt idx="4">
                  <c:v>0.49</c:v>
                </c:pt>
              </c:numCache>
            </c:numRef>
          </c:val>
        </c:ser>
        <c:ser>
          <c:idx val="1"/>
          <c:order val="1"/>
          <c:tx>
            <c:strRef>
              <c:f>Sheet1!$C$1</c:f>
              <c:strCache>
                <c:ptCount val="1"/>
                <c:pt idx="0">
                  <c:v>2022年</c:v>
                </c:pt>
              </c:strCache>
            </c:strRef>
          </c:tx>
          <c:spPr>
            <a:solidFill>
              <a:schemeClr val="accent2"/>
            </a:solidFill>
            <a:ln>
              <a:noFill/>
            </a:ln>
            <a:effectLst/>
          </c:spPr>
          <c:invertIfNegative val="0"/>
          <c:dLbls>
            <c:delete val="1"/>
          </c:dLbls>
          <c:cat>
            <c:strRef>
              <c:f>Sheet1!$A$2:$A$6</c:f>
              <c:strCache>
                <c:ptCount val="5"/>
                <c:pt idx="0">
                  <c:v>语文合格率</c:v>
                </c:pt>
                <c:pt idx="1">
                  <c:v>数学合格率</c:v>
                </c:pt>
                <c:pt idx="2">
                  <c:v>思政合格率</c:v>
                </c:pt>
                <c:pt idx="3">
                  <c:v>英语合格率</c:v>
                </c:pt>
                <c:pt idx="4">
                  <c:v>省学测合格率</c:v>
                </c:pt>
              </c:strCache>
            </c:strRef>
          </c:cat>
          <c:val>
            <c:numRef>
              <c:f>Sheet1!$C$2:$C$6</c:f>
              <c:numCache>
                <c:formatCode>0%</c:formatCode>
                <c:ptCount val="5"/>
                <c:pt idx="0">
                  <c:v>0.78</c:v>
                </c:pt>
                <c:pt idx="1">
                  <c:v>0.62</c:v>
                </c:pt>
                <c:pt idx="2">
                  <c:v>0.93</c:v>
                </c:pt>
                <c:pt idx="3">
                  <c:v>0.84</c:v>
                </c:pt>
                <c:pt idx="4">
                  <c:v>0.51</c:v>
                </c:pt>
              </c:numCache>
            </c:numRef>
          </c:val>
        </c:ser>
        <c:dLbls>
          <c:showLegendKey val="0"/>
          <c:showVal val="0"/>
          <c:showCatName val="0"/>
          <c:showSerName val="0"/>
          <c:showPercent val="0"/>
          <c:showBubbleSize val="0"/>
        </c:dLbls>
        <c:gapWidth val="219"/>
        <c:overlap val="-27"/>
        <c:axId val="-346709072"/>
        <c:axId val="-346697104"/>
      </c:barChart>
      <c:catAx>
        <c:axId val="-3467090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697104"/>
        <c:crosses val="autoZero"/>
        <c:auto val="1"/>
        <c:lblAlgn val="ctr"/>
        <c:lblOffset val="100"/>
        <c:noMultiLvlLbl val="0"/>
      </c:catAx>
      <c:valAx>
        <c:axId val="-34669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709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customShpInfo spid="_x0000_s3074"/>
    <customShpInfo spid="_x0000_s3075"/>
    <customShpInfo spid="_x0000_s3076"/>
    <customShpInfo spid="_x0000_s3077"/>
    <customShpInfo spid="_x0000_s307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3CE482-8D1F-46FE-AB4A-F3050641D728}">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13749</Words>
  <Characters>14491</Characters>
  <Lines>117</Lines>
  <Paragraphs>33</Paragraphs>
  <TotalTime>4</TotalTime>
  <ScaleCrop>false</ScaleCrop>
  <LinksUpToDate>false</LinksUpToDate>
  <CharactersWithSpaces>14629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李明</dc:creator>
  <cp:lastModifiedBy>Ashen®</cp:lastModifiedBy>
  <dcterms:modified xsi:type="dcterms:W3CDTF">2022-12-10T13:09:03Z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08AE9F786E2049989D2BB6B4D0A60865</vt:lpwstr>
  </property>
</Properties>
</file>